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0" w:rsidRDefault="00711DF0" w:rsidP="00711DF0">
      <w:pPr>
        <w:pStyle w:val="Title"/>
      </w:pPr>
      <w:bookmarkStart w:id="0" w:name="_GoBack"/>
      <w:bookmarkEnd w:id="0"/>
      <w:r>
        <w:t>Basic First Aid Kit</w:t>
      </w:r>
    </w:p>
    <w:p w:rsidR="00711DF0" w:rsidRDefault="00711DF0" w:rsidP="003F0CA1">
      <w:pPr>
        <w:pStyle w:val="Subtitle"/>
        <w:spacing w:after="480"/>
      </w:pPr>
      <w:r>
        <w:t>From:  ANSI Z308.1 - 1998</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48"/>
        <w:gridCol w:w="2232"/>
      </w:tblGrid>
      <w:tr w:rsidR="00711DF0" w:rsidTr="003F0CA1">
        <w:tblPrEx>
          <w:tblCellMar>
            <w:top w:w="0" w:type="dxa"/>
            <w:bottom w:w="0" w:type="dxa"/>
          </w:tblCellMar>
        </w:tblPrEx>
        <w:trPr>
          <w:tblHeader/>
        </w:trPr>
        <w:tc>
          <w:tcPr>
            <w:tcW w:w="5148" w:type="dxa"/>
          </w:tcPr>
          <w:p w:rsidR="00711DF0" w:rsidRPr="00561972" w:rsidRDefault="00711DF0" w:rsidP="00711DF0">
            <w:pPr>
              <w:pStyle w:val="Heading1"/>
            </w:pPr>
            <w:r w:rsidRPr="00561972">
              <w:t>Item and Minimum Size or Volume</w:t>
            </w:r>
          </w:p>
        </w:tc>
        <w:tc>
          <w:tcPr>
            <w:tcW w:w="1548" w:type="dxa"/>
          </w:tcPr>
          <w:p w:rsidR="00711DF0" w:rsidRPr="00561972" w:rsidRDefault="00711DF0" w:rsidP="00711DF0">
            <w:pPr>
              <w:pStyle w:val="Heading1"/>
            </w:pPr>
            <w:r w:rsidRPr="00561972">
              <w:t>Minimum Quantity</w:t>
            </w:r>
          </w:p>
        </w:tc>
        <w:tc>
          <w:tcPr>
            <w:tcW w:w="2232" w:type="dxa"/>
          </w:tcPr>
          <w:p w:rsidR="00711DF0" w:rsidRPr="00561972" w:rsidRDefault="00711DF0" w:rsidP="00711DF0">
            <w:pPr>
              <w:pStyle w:val="Heading1"/>
            </w:pPr>
            <w:r w:rsidRPr="00561972">
              <w:t>Detailed Requirement Specifications</w:t>
            </w:r>
          </w:p>
        </w:tc>
      </w:tr>
      <w:tr w:rsidR="00711DF0" w:rsidTr="00711DF0">
        <w:tblPrEx>
          <w:tblCellMar>
            <w:top w:w="0" w:type="dxa"/>
            <w:bottom w:w="0" w:type="dxa"/>
          </w:tblCellMar>
        </w:tblPrEx>
        <w:tc>
          <w:tcPr>
            <w:tcW w:w="5148" w:type="dxa"/>
          </w:tcPr>
          <w:p w:rsidR="00711DF0" w:rsidRDefault="00711DF0" w:rsidP="00711DF0">
            <w:r>
              <w:t>Absorbent Compress, 32 sq. in., with no side smaller than 4 in.</w:t>
            </w:r>
          </w:p>
          <w:p w:rsidR="00711DF0" w:rsidRDefault="00711DF0" w:rsidP="00711DF0">
            <w:r>
              <w:t>(81.3 sq. cm, with no side smaller and 10 cm)</w:t>
            </w:r>
          </w:p>
        </w:tc>
        <w:tc>
          <w:tcPr>
            <w:tcW w:w="1548" w:type="dxa"/>
          </w:tcPr>
          <w:p w:rsidR="00711DF0" w:rsidRDefault="00711DF0" w:rsidP="00711DF0">
            <w:r>
              <w:t>1</w:t>
            </w:r>
          </w:p>
        </w:tc>
        <w:tc>
          <w:tcPr>
            <w:tcW w:w="2232" w:type="dxa"/>
          </w:tcPr>
          <w:p w:rsidR="00711DF0" w:rsidRDefault="00711DF0" w:rsidP="00711DF0">
            <w:r>
              <w:t>5.2.1</w:t>
            </w:r>
          </w:p>
        </w:tc>
      </w:tr>
      <w:tr w:rsidR="00711DF0" w:rsidTr="00711DF0">
        <w:tblPrEx>
          <w:tblCellMar>
            <w:top w:w="0" w:type="dxa"/>
            <w:bottom w:w="0" w:type="dxa"/>
          </w:tblCellMar>
        </w:tblPrEx>
        <w:tc>
          <w:tcPr>
            <w:tcW w:w="5148" w:type="dxa"/>
          </w:tcPr>
          <w:p w:rsidR="00711DF0" w:rsidRDefault="00711DF0" w:rsidP="00711DF0">
            <w:r>
              <w:t>Adhesive Bandages, 1 x 3 in. (2.5 x 7.5 cm)</w:t>
            </w:r>
          </w:p>
        </w:tc>
        <w:tc>
          <w:tcPr>
            <w:tcW w:w="1548" w:type="dxa"/>
          </w:tcPr>
          <w:p w:rsidR="00711DF0" w:rsidRDefault="00711DF0" w:rsidP="00711DF0">
            <w:r>
              <w:t>16</w:t>
            </w:r>
          </w:p>
        </w:tc>
        <w:tc>
          <w:tcPr>
            <w:tcW w:w="2232" w:type="dxa"/>
          </w:tcPr>
          <w:p w:rsidR="00711DF0" w:rsidRDefault="00711DF0" w:rsidP="00711DF0">
            <w:r>
              <w:t>5.22</w:t>
            </w:r>
          </w:p>
        </w:tc>
      </w:tr>
      <w:tr w:rsidR="00711DF0" w:rsidTr="00711DF0">
        <w:tblPrEx>
          <w:tblCellMar>
            <w:top w:w="0" w:type="dxa"/>
            <w:bottom w:w="0" w:type="dxa"/>
          </w:tblCellMar>
        </w:tblPrEx>
        <w:tc>
          <w:tcPr>
            <w:tcW w:w="5148" w:type="dxa"/>
          </w:tcPr>
          <w:p w:rsidR="00711DF0" w:rsidRDefault="00711DF0" w:rsidP="00711DF0">
            <w:r>
              <w:t>Adhesive Tape, 5 yd. (457.2 cm) total</w:t>
            </w:r>
          </w:p>
        </w:tc>
        <w:tc>
          <w:tcPr>
            <w:tcW w:w="1548" w:type="dxa"/>
          </w:tcPr>
          <w:p w:rsidR="00711DF0" w:rsidRDefault="00711DF0" w:rsidP="00711DF0">
            <w:r>
              <w:t>1</w:t>
            </w:r>
          </w:p>
        </w:tc>
        <w:tc>
          <w:tcPr>
            <w:tcW w:w="2232" w:type="dxa"/>
          </w:tcPr>
          <w:p w:rsidR="00711DF0" w:rsidRDefault="00711DF0" w:rsidP="00711DF0">
            <w:r>
              <w:t>5.2.3</w:t>
            </w:r>
          </w:p>
        </w:tc>
      </w:tr>
      <w:tr w:rsidR="00711DF0" w:rsidTr="00711DF0">
        <w:tblPrEx>
          <w:tblCellMar>
            <w:top w:w="0" w:type="dxa"/>
            <w:bottom w:w="0" w:type="dxa"/>
          </w:tblCellMar>
        </w:tblPrEx>
        <w:tc>
          <w:tcPr>
            <w:tcW w:w="5148" w:type="dxa"/>
          </w:tcPr>
          <w:p w:rsidR="00711DF0" w:rsidRDefault="00711DF0" w:rsidP="00711DF0">
            <w:r>
              <w:t>Antiseptic, 0.5 g (0.14 fl. Oz) application</w:t>
            </w:r>
          </w:p>
        </w:tc>
        <w:tc>
          <w:tcPr>
            <w:tcW w:w="1548" w:type="dxa"/>
          </w:tcPr>
          <w:p w:rsidR="00711DF0" w:rsidRDefault="00711DF0" w:rsidP="00711DF0">
            <w:r>
              <w:t>10</w:t>
            </w:r>
          </w:p>
        </w:tc>
        <w:tc>
          <w:tcPr>
            <w:tcW w:w="2232" w:type="dxa"/>
          </w:tcPr>
          <w:p w:rsidR="00711DF0" w:rsidRDefault="00711DF0" w:rsidP="00711DF0">
            <w:r>
              <w:t>5.2.4</w:t>
            </w:r>
          </w:p>
        </w:tc>
      </w:tr>
      <w:tr w:rsidR="00711DF0" w:rsidTr="00711DF0">
        <w:tblPrEx>
          <w:tblCellMar>
            <w:top w:w="0" w:type="dxa"/>
            <w:bottom w:w="0" w:type="dxa"/>
          </w:tblCellMar>
        </w:tblPrEx>
        <w:tc>
          <w:tcPr>
            <w:tcW w:w="5148" w:type="dxa"/>
          </w:tcPr>
          <w:p w:rsidR="00711DF0" w:rsidRDefault="00711DF0" w:rsidP="00711DF0">
            <w:r>
              <w:t>Burn Treatment, 0.5 g (0.14 fl. oz.) application</w:t>
            </w:r>
          </w:p>
        </w:tc>
        <w:tc>
          <w:tcPr>
            <w:tcW w:w="1548" w:type="dxa"/>
          </w:tcPr>
          <w:p w:rsidR="00711DF0" w:rsidRDefault="00711DF0" w:rsidP="00711DF0">
            <w:r>
              <w:t>6</w:t>
            </w:r>
          </w:p>
        </w:tc>
        <w:tc>
          <w:tcPr>
            <w:tcW w:w="2232" w:type="dxa"/>
          </w:tcPr>
          <w:p w:rsidR="00711DF0" w:rsidRDefault="00711DF0" w:rsidP="00711DF0">
            <w:r>
              <w:t>5.2.5</w:t>
            </w:r>
          </w:p>
        </w:tc>
      </w:tr>
      <w:tr w:rsidR="00711DF0" w:rsidTr="00711DF0">
        <w:tblPrEx>
          <w:tblCellMar>
            <w:top w:w="0" w:type="dxa"/>
            <w:bottom w:w="0" w:type="dxa"/>
          </w:tblCellMar>
        </w:tblPrEx>
        <w:tc>
          <w:tcPr>
            <w:tcW w:w="5148" w:type="dxa"/>
          </w:tcPr>
          <w:p w:rsidR="00711DF0" w:rsidRDefault="00711DF0" w:rsidP="00711DF0">
            <w:r>
              <w:t>Medical Exam Gloves</w:t>
            </w:r>
          </w:p>
        </w:tc>
        <w:tc>
          <w:tcPr>
            <w:tcW w:w="1548" w:type="dxa"/>
          </w:tcPr>
          <w:p w:rsidR="00711DF0" w:rsidRDefault="00711DF0" w:rsidP="00711DF0">
            <w:r>
              <w:t>2 pair</w:t>
            </w:r>
          </w:p>
        </w:tc>
        <w:tc>
          <w:tcPr>
            <w:tcW w:w="2232" w:type="dxa"/>
          </w:tcPr>
          <w:p w:rsidR="00711DF0" w:rsidRDefault="00711DF0" w:rsidP="00711DF0">
            <w:r>
              <w:t>5.2.6</w:t>
            </w:r>
          </w:p>
        </w:tc>
      </w:tr>
      <w:tr w:rsidR="00711DF0" w:rsidTr="00711DF0">
        <w:tblPrEx>
          <w:tblCellMar>
            <w:top w:w="0" w:type="dxa"/>
            <w:bottom w:w="0" w:type="dxa"/>
          </w:tblCellMar>
        </w:tblPrEx>
        <w:tc>
          <w:tcPr>
            <w:tcW w:w="5148" w:type="dxa"/>
          </w:tcPr>
          <w:p w:rsidR="00711DF0" w:rsidRDefault="00711DF0" w:rsidP="00711DF0">
            <w:r>
              <w:t>Sterile pad, 3 x 3 in. (7.5 x 7.5 cm)</w:t>
            </w:r>
          </w:p>
        </w:tc>
        <w:tc>
          <w:tcPr>
            <w:tcW w:w="1548" w:type="dxa"/>
          </w:tcPr>
          <w:p w:rsidR="00711DF0" w:rsidRDefault="00711DF0" w:rsidP="00711DF0">
            <w:r>
              <w:t>4</w:t>
            </w:r>
          </w:p>
        </w:tc>
        <w:tc>
          <w:tcPr>
            <w:tcW w:w="2232" w:type="dxa"/>
          </w:tcPr>
          <w:p w:rsidR="00711DF0" w:rsidRDefault="00711DF0" w:rsidP="00711DF0">
            <w:r>
              <w:t>5.2.7</w:t>
            </w:r>
          </w:p>
        </w:tc>
      </w:tr>
      <w:tr w:rsidR="00711DF0" w:rsidTr="00711DF0">
        <w:tblPrEx>
          <w:tblCellMar>
            <w:top w:w="0" w:type="dxa"/>
            <w:bottom w:w="0" w:type="dxa"/>
          </w:tblCellMar>
        </w:tblPrEx>
        <w:tc>
          <w:tcPr>
            <w:tcW w:w="5148" w:type="dxa"/>
          </w:tcPr>
          <w:p w:rsidR="00711DF0" w:rsidRDefault="00711DF0" w:rsidP="00711DF0">
            <w:r>
              <w:t>Triangular Bandage, 40 x 40 x 56 in. (101 x 101x 142 cm)</w:t>
            </w:r>
          </w:p>
        </w:tc>
        <w:tc>
          <w:tcPr>
            <w:tcW w:w="1548" w:type="dxa"/>
          </w:tcPr>
          <w:p w:rsidR="00711DF0" w:rsidRDefault="00711DF0" w:rsidP="00711DF0">
            <w:r>
              <w:t>1</w:t>
            </w:r>
          </w:p>
        </w:tc>
        <w:tc>
          <w:tcPr>
            <w:tcW w:w="2232" w:type="dxa"/>
          </w:tcPr>
          <w:p w:rsidR="00711DF0" w:rsidRDefault="00711DF0" w:rsidP="00711DF0">
            <w:r>
              <w:t>5.2.8</w:t>
            </w:r>
          </w:p>
        </w:tc>
      </w:tr>
    </w:tbl>
    <w:p w:rsidR="00711DF0" w:rsidRPr="00561972" w:rsidRDefault="00711DF0" w:rsidP="00E63727">
      <w:pPr>
        <w:spacing w:before="360"/>
        <w:rPr>
          <w:rStyle w:val="IntenseEmphasis"/>
          <w:rFonts w:ascii="Cambria" w:hAnsi="Cambria"/>
        </w:rPr>
      </w:pPr>
      <w:r w:rsidRPr="00561972">
        <w:rPr>
          <w:rStyle w:val="IntenseEmphasis"/>
          <w:rFonts w:ascii="Cambria" w:hAnsi="Cambria"/>
        </w:rPr>
        <w:t>Optional Additional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980"/>
      </w:tblGrid>
      <w:tr w:rsidR="00711DF0" w:rsidTr="003F0CA1">
        <w:tblPrEx>
          <w:tblCellMar>
            <w:top w:w="0" w:type="dxa"/>
            <w:bottom w:w="0" w:type="dxa"/>
          </w:tblCellMar>
        </w:tblPrEx>
        <w:trPr>
          <w:tblHeader/>
        </w:trPr>
        <w:tc>
          <w:tcPr>
            <w:tcW w:w="5328" w:type="dxa"/>
          </w:tcPr>
          <w:p w:rsidR="00711DF0" w:rsidRPr="00561972" w:rsidRDefault="00711DF0" w:rsidP="003F0CA1">
            <w:pPr>
              <w:pStyle w:val="Heading1"/>
            </w:pPr>
            <w:r w:rsidRPr="00561972">
              <w:t>Item and Minimum Size or Volume</w:t>
            </w:r>
          </w:p>
          <w:p w:rsidR="00711DF0" w:rsidRPr="00561972" w:rsidRDefault="00711DF0" w:rsidP="003F0CA1">
            <w:pPr>
              <w:pStyle w:val="Heading1"/>
            </w:pPr>
            <w:r w:rsidRPr="00561972">
              <w:t>(OPTIONAL)</w:t>
            </w:r>
          </w:p>
        </w:tc>
        <w:tc>
          <w:tcPr>
            <w:tcW w:w="1980" w:type="dxa"/>
          </w:tcPr>
          <w:p w:rsidR="00711DF0" w:rsidRPr="00561972" w:rsidRDefault="00711DF0" w:rsidP="003F0CA1">
            <w:pPr>
              <w:pStyle w:val="Heading1"/>
            </w:pPr>
            <w:r w:rsidRPr="00561972">
              <w:t>Physical Requirement Section</w:t>
            </w:r>
          </w:p>
        </w:tc>
      </w:tr>
      <w:tr w:rsidR="00711DF0">
        <w:tblPrEx>
          <w:tblCellMar>
            <w:top w:w="0" w:type="dxa"/>
            <w:bottom w:w="0" w:type="dxa"/>
          </w:tblCellMar>
        </w:tblPrEx>
        <w:tc>
          <w:tcPr>
            <w:tcW w:w="5328" w:type="dxa"/>
          </w:tcPr>
          <w:p w:rsidR="00711DF0" w:rsidRDefault="00711DF0" w:rsidP="003F0CA1">
            <w:r>
              <w:t>Bandage Compress, equivalent absorbency of 16 thickness of Type III (28/24) absorbent gauze</w:t>
            </w:r>
          </w:p>
        </w:tc>
        <w:tc>
          <w:tcPr>
            <w:tcW w:w="1980" w:type="dxa"/>
          </w:tcPr>
          <w:p w:rsidR="00711DF0" w:rsidRDefault="00711DF0" w:rsidP="003F0CA1">
            <w:r>
              <w:t>5.3.1</w:t>
            </w:r>
          </w:p>
        </w:tc>
      </w:tr>
      <w:tr w:rsidR="00711DF0">
        <w:tblPrEx>
          <w:tblCellMar>
            <w:top w:w="0" w:type="dxa"/>
            <w:bottom w:w="0" w:type="dxa"/>
          </w:tblCellMar>
        </w:tblPrEx>
        <w:tc>
          <w:tcPr>
            <w:tcW w:w="5328" w:type="dxa"/>
          </w:tcPr>
          <w:p w:rsidR="00711DF0" w:rsidRDefault="00711DF0" w:rsidP="003F0CA1">
            <w:r>
              <w:t>Eye Covering, ability to cover both eyes, an area of at least 2.9 sq. in. (19 sq. cm) per eye, and conform to each eye cavity.</w:t>
            </w:r>
          </w:p>
        </w:tc>
        <w:tc>
          <w:tcPr>
            <w:tcW w:w="1980" w:type="dxa"/>
          </w:tcPr>
          <w:p w:rsidR="00711DF0" w:rsidRDefault="00711DF0" w:rsidP="003F0CA1">
            <w:r>
              <w:t>5.3.2</w:t>
            </w:r>
          </w:p>
        </w:tc>
      </w:tr>
      <w:tr w:rsidR="00711DF0">
        <w:tblPrEx>
          <w:tblCellMar>
            <w:top w:w="0" w:type="dxa"/>
            <w:bottom w:w="0" w:type="dxa"/>
          </w:tblCellMar>
        </w:tblPrEx>
        <w:tc>
          <w:tcPr>
            <w:tcW w:w="5328" w:type="dxa"/>
          </w:tcPr>
          <w:p w:rsidR="00711DF0" w:rsidRDefault="00711DF0" w:rsidP="003F0CA1">
            <w:r>
              <w:t>Eye Wash, 30 ml (1 fl oz.)</w:t>
            </w:r>
          </w:p>
        </w:tc>
        <w:tc>
          <w:tcPr>
            <w:tcW w:w="1980" w:type="dxa"/>
          </w:tcPr>
          <w:p w:rsidR="00711DF0" w:rsidRDefault="00711DF0" w:rsidP="003F0CA1">
            <w:r>
              <w:t>5.3.3</w:t>
            </w:r>
          </w:p>
        </w:tc>
      </w:tr>
      <w:tr w:rsidR="00711DF0">
        <w:tblPrEx>
          <w:tblCellMar>
            <w:top w:w="0" w:type="dxa"/>
            <w:bottom w:w="0" w:type="dxa"/>
          </w:tblCellMar>
        </w:tblPrEx>
        <w:tc>
          <w:tcPr>
            <w:tcW w:w="5328" w:type="dxa"/>
          </w:tcPr>
          <w:p w:rsidR="00711DF0" w:rsidRDefault="00711DF0" w:rsidP="003F0CA1">
            <w:r>
              <w:t xml:space="preserve">Cold Pack, 5 x 4 in.  (10 x 12.5 cm), temperature between 20 - 40 </w:t>
            </w:r>
            <w:r>
              <w:sym w:font="Symbol" w:char="F0B0"/>
            </w:r>
            <w:r>
              <w:t>F (-6 - 4</w:t>
            </w:r>
            <w:r>
              <w:sym w:font="Symbol" w:char="F0B0"/>
            </w:r>
            <w:r>
              <w:t xml:space="preserve"> C) within 10 seconds of activation</w:t>
            </w:r>
          </w:p>
        </w:tc>
        <w:tc>
          <w:tcPr>
            <w:tcW w:w="1980" w:type="dxa"/>
          </w:tcPr>
          <w:p w:rsidR="00711DF0" w:rsidRDefault="00711DF0" w:rsidP="003F0CA1">
            <w:r>
              <w:t>5.3.4</w:t>
            </w:r>
          </w:p>
        </w:tc>
      </w:tr>
      <w:tr w:rsidR="00711DF0">
        <w:tblPrEx>
          <w:tblCellMar>
            <w:top w:w="0" w:type="dxa"/>
            <w:bottom w:w="0" w:type="dxa"/>
          </w:tblCellMar>
        </w:tblPrEx>
        <w:tc>
          <w:tcPr>
            <w:tcW w:w="5328" w:type="dxa"/>
          </w:tcPr>
          <w:p w:rsidR="00711DF0" w:rsidRDefault="00711DF0" w:rsidP="003F0CA1">
            <w:r>
              <w:t>Roller Bandage, 2 in. (5 cm) wide; 6 yd (550 cm) long</w:t>
            </w:r>
          </w:p>
        </w:tc>
        <w:tc>
          <w:tcPr>
            <w:tcW w:w="1980" w:type="dxa"/>
          </w:tcPr>
          <w:p w:rsidR="00711DF0" w:rsidRDefault="00711DF0" w:rsidP="003F0CA1">
            <w:r>
              <w:t>5.3.5</w:t>
            </w:r>
          </w:p>
        </w:tc>
      </w:tr>
    </w:tbl>
    <w:p w:rsidR="00711DF0" w:rsidRPr="003F0CA1" w:rsidRDefault="00711DF0" w:rsidP="003F0CA1">
      <w:pPr>
        <w:numPr>
          <w:ilvl w:val="2"/>
          <w:numId w:val="1"/>
        </w:numPr>
        <w:spacing w:before="480"/>
        <w:rPr>
          <w:rStyle w:val="Strong"/>
        </w:rPr>
      </w:pPr>
      <w:r w:rsidRPr="003F0CA1">
        <w:rPr>
          <w:rStyle w:val="Strong"/>
        </w:rPr>
        <w:t>Optional Fill Contents</w:t>
      </w:r>
    </w:p>
    <w:p w:rsidR="00711DF0" w:rsidRDefault="00711DF0" w:rsidP="003F0CA1">
      <w:r>
        <w:t xml:space="preserve">In addition to the basic first aid contents listed in Section 5.1.1, optional items and sizes should be included to augment a kit, based </w:t>
      </w:r>
      <w:proofErr w:type="gramStart"/>
      <w:r>
        <w:t>upon  the</w:t>
      </w:r>
      <w:proofErr w:type="gramEnd"/>
      <w:r>
        <w:t xml:space="preserve"> specific hazards existing in a particular work environment.  Optional items specifically addressed by this standard shall meet all of the applicable requirements in Section 5.3.  Items not addressed by this standard shall be in compliance with standards or regulations, where applicable, </w:t>
      </w:r>
      <w:r>
        <w:lastRenderedPageBreak/>
        <w:t>established by the U.S. Food and Drug Administration (FDA), the current edition of the U.S. Pharmacopoeia/National Formulary (USP/NF) or any other equivalent standard writing body.</w:t>
      </w:r>
    </w:p>
    <w:p w:rsidR="00711DF0" w:rsidRPr="003F0CA1" w:rsidRDefault="00711DF0" w:rsidP="003F0CA1">
      <w:pPr>
        <w:numPr>
          <w:ilvl w:val="1"/>
          <w:numId w:val="1"/>
        </w:numPr>
        <w:spacing w:before="240"/>
        <w:rPr>
          <w:rStyle w:val="Strong"/>
        </w:rPr>
      </w:pPr>
      <w:r w:rsidRPr="003F0CA1">
        <w:rPr>
          <w:rStyle w:val="Strong"/>
        </w:rPr>
        <w:t>Minimum Requirements of Basic Fill Contents</w:t>
      </w:r>
    </w:p>
    <w:p w:rsidR="00711DF0" w:rsidRPr="003F0CA1" w:rsidRDefault="00711DF0" w:rsidP="003F0CA1">
      <w:pPr>
        <w:numPr>
          <w:ilvl w:val="2"/>
          <w:numId w:val="2"/>
        </w:numPr>
        <w:spacing w:before="240"/>
      </w:pPr>
      <w:r w:rsidRPr="003F0CA1">
        <w:rPr>
          <w:rStyle w:val="Strong"/>
        </w:rPr>
        <w:t>Absorbent Compress.</w:t>
      </w:r>
      <w:r>
        <w:t xml:space="preserve">  </w:t>
      </w:r>
      <w:r w:rsidRPr="003F0CA1">
        <w:t xml:space="preserve">Each absorbent compress shall be at least 32 sq. in. (81.3 sq. cm) with no side smaller than 4 in. (10.1 cm) with at least an equivalent absorbency of 2.37 fl. oz. (70 g) of water as defined by the test method in ASTM D1117 </w:t>
      </w:r>
      <w:r w:rsidRPr="003F0CA1">
        <w:rPr>
          <w:rStyle w:val="Emphasis"/>
        </w:rPr>
        <w:t>Nonwoven Fabrics</w:t>
      </w:r>
      <w:r w:rsidRPr="003F0CA1">
        <w:t>.  Each compress shall be individually packaged, sealed, and sterile.  The compress shall be free from loose threads and raveled edges.</w:t>
      </w:r>
    </w:p>
    <w:p w:rsidR="00711DF0" w:rsidRPr="003F0CA1" w:rsidRDefault="00711DF0" w:rsidP="003F0CA1">
      <w:pPr>
        <w:numPr>
          <w:ilvl w:val="2"/>
          <w:numId w:val="2"/>
        </w:numPr>
        <w:spacing w:before="240"/>
      </w:pPr>
      <w:r w:rsidRPr="003F0CA1">
        <w:rPr>
          <w:rStyle w:val="Strong"/>
        </w:rPr>
        <w:t>Adhesive Bandage</w:t>
      </w:r>
      <w:r w:rsidRPr="003F0CA1">
        <w:t xml:space="preserve">.  Each adhesive bandage shall consist of non-adherent absorbent pad attached to the central area of a strip of adhesive material.  The adhesive strip shall be 3.0 in +/- 1/16 in.  (76 mm +/- 1.6 mm) by 1.0 in. +/- 1/32 in. (25.4 mm +/- 0.8 cm).  The absorbent pad shall have an area between 0.65 and 1.0 sp. In (420- 645 sp. Mm).  The ratio of the greater pad dimension to the lesser pad dimension shall have a moisture vapor transmission rate of at least 500 </w:t>
      </w:r>
      <w:proofErr w:type="spellStart"/>
      <w:r w:rsidRPr="003F0CA1">
        <w:t>gm</w:t>
      </w:r>
      <w:proofErr w:type="spellEnd"/>
      <w:r w:rsidRPr="003F0CA1">
        <w:t>/m2 per 24 hours of its entire area in accordance with ASTM E96</w:t>
      </w:r>
      <w:r>
        <w:t xml:space="preserve"> </w:t>
      </w:r>
      <w:r w:rsidRPr="003F0CA1">
        <w:rPr>
          <w:rStyle w:val="Emphasis"/>
        </w:rPr>
        <w:t>Standard Test Methods for Water Vapor Transmission of Materials.</w:t>
      </w:r>
      <w:r w:rsidR="003F0CA1">
        <w:rPr>
          <w:rStyle w:val="Emphasis"/>
        </w:rPr>
        <w:t xml:space="preserve"> </w:t>
      </w:r>
      <w:r w:rsidRPr="003F0CA1">
        <w:t>Protective material shall cover the adhesive material and pad in such a manner as to prevent contamination of the pad.  The protective facing material shall not impair the adhesiveness of the adhesive material and shall be easily removed.  Each bandage shall be individually packaged, sealed, and sterile.</w:t>
      </w:r>
    </w:p>
    <w:p w:rsidR="00711DF0" w:rsidRPr="003F0CA1" w:rsidRDefault="00711DF0" w:rsidP="003F0CA1">
      <w:pPr>
        <w:numPr>
          <w:ilvl w:val="2"/>
          <w:numId w:val="2"/>
        </w:numPr>
        <w:spacing w:before="240"/>
      </w:pPr>
      <w:r w:rsidRPr="003F0CA1">
        <w:rPr>
          <w:rStyle w:val="Strong"/>
        </w:rPr>
        <w:t>Adhesive Tape.</w:t>
      </w:r>
      <w:r>
        <w:t xml:space="preserve">  </w:t>
      </w:r>
      <w:r w:rsidRPr="003F0CA1">
        <w:t xml:space="preserve">Adhesive tape shall be at least 3/8 in. (9.5 mm) wide and a minimum of 5 </w:t>
      </w:r>
      <w:proofErr w:type="spellStart"/>
      <w:r w:rsidRPr="003F0CA1">
        <w:t>yd</w:t>
      </w:r>
      <w:proofErr w:type="spellEnd"/>
      <w:r w:rsidRPr="003F0CA1">
        <w:t xml:space="preserve"> (4.6 m) long and meet the applicable requirements for adhesive tape as defined in the current edition of the USP/NF.</w:t>
      </w:r>
    </w:p>
    <w:p w:rsidR="00711DF0" w:rsidRDefault="00711DF0" w:rsidP="003F0CA1">
      <w:pPr>
        <w:numPr>
          <w:ilvl w:val="2"/>
          <w:numId w:val="2"/>
        </w:numPr>
        <w:spacing w:before="240"/>
      </w:pPr>
      <w:r w:rsidRPr="003F0CA1">
        <w:rPr>
          <w:rStyle w:val="Strong"/>
        </w:rPr>
        <w:t>Antiseptic.</w:t>
      </w:r>
      <w:r>
        <w:t xml:space="preserve">  </w:t>
      </w:r>
      <w:r w:rsidRPr="003F0CA1">
        <w:t>Each antiseptic shall meet the requirements of FDA regulation 21 CFR 333 and shall be contained in an individual-use application containing at least 0.5 g (0.14 fl. oz.).  Each individual-use application shall not be reusable.</w:t>
      </w:r>
    </w:p>
    <w:p w:rsidR="00711DF0" w:rsidRPr="003F0CA1" w:rsidRDefault="00711DF0" w:rsidP="003F0CA1">
      <w:pPr>
        <w:numPr>
          <w:ilvl w:val="2"/>
          <w:numId w:val="2"/>
        </w:numPr>
        <w:spacing w:before="240"/>
      </w:pPr>
      <w:r w:rsidRPr="003F0CA1">
        <w:rPr>
          <w:rStyle w:val="Strong"/>
        </w:rPr>
        <w:t>Burn Treatment</w:t>
      </w:r>
      <w:r>
        <w:t xml:space="preserve">.  </w:t>
      </w:r>
      <w:r w:rsidRPr="003F0CA1">
        <w:t xml:space="preserve">Each burn treatment shall be a water soluble compound package in individual-use applications containing at least 0.5 g (0.14 </w:t>
      </w:r>
      <w:proofErr w:type="spellStart"/>
      <w:r w:rsidRPr="003F0CA1">
        <w:t>fl</w:t>
      </w:r>
      <w:proofErr w:type="spellEnd"/>
      <w:r w:rsidRPr="003F0CA1">
        <w:t xml:space="preserve"> oz.).  Each individual-use application shall not be reusable.</w:t>
      </w:r>
    </w:p>
    <w:p w:rsidR="00711DF0" w:rsidRPr="003F0CA1" w:rsidRDefault="00711DF0" w:rsidP="003F0CA1">
      <w:pPr>
        <w:numPr>
          <w:ilvl w:val="2"/>
          <w:numId w:val="2"/>
        </w:numPr>
        <w:spacing w:before="240"/>
      </w:pPr>
      <w:r w:rsidRPr="003F0CA1">
        <w:rPr>
          <w:rStyle w:val="Strong"/>
        </w:rPr>
        <w:t>Medical Exam Gloves.</w:t>
      </w:r>
      <w:r>
        <w:t xml:space="preserve">  </w:t>
      </w:r>
      <w:r w:rsidRPr="003F0CA1">
        <w:t xml:space="preserve">Gloves shall conform to the Food and Drug Administration (FDA) requirements for medical grade gloves.  The FDA has developed a test method to ensure that medical grade gloves are effective barrier devices to control the transmission of infectious diseases.  The gloves are analyzed for barrier failures such as leaks, tears, </w:t>
      </w:r>
      <w:proofErr w:type="gramStart"/>
      <w:r w:rsidRPr="003F0CA1">
        <w:t>mold</w:t>
      </w:r>
      <w:proofErr w:type="gramEnd"/>
      <w:r w:rsidRPr="003F0CA1">
        <w:t xml:space="preserve"> or embedded objects that would affect glove integrity.  For the complete FDA test method for medical gloves, see 21 CFR 800.20 1995.</w:t>
      </w:r>
    </w:p>
    <w:p w:rsidR="00711DF0" w:rsidRDefault="00711DF0"/>
    <w:p w:rsidR="00711DF0" w:rsidRDefault="00711DF0" w:rsidP="003F0CA1">
      <w:pPr>
        <w:numPr>
          <w:ilvl w:val="2"/>
          <w:numId w:val="2"/>
        </w:numPr>
        <w:spacing w:before="240"/>
      </w:pPr>
      <w:r w:rsidRPr="003F0CA1">
        <w:rPr>
          <w:rStyle w:val="Strong"/>
        </w:rPr>
        <w:lastRenderedPageBreak/>
        <w:t xml:space="preserve">Sterile pad. </w:t>
      </w:r>
      <w:r>
        <w:t xml:space="preserve"> Each sterile pad shall be at least 3 x 3 in. (7.5 x 7.5 cm) in size and absorb at least 2 g (0.56 </w:t>
      </w:r>
      <w:proofErr w:type="spellStart"/>
      <w:r>
        <w:t>fl.oz</w:t>
      </w:r>
      <w:proofErr w:type="spellEnd"/>
      <w:r>
        <w:t>.) of water as determined by ASTM D1117.  Each sterile pad shall be individually packaged, sealed and sterile.</w:t>
      </w:r>
    </w:p>
    <w:p w:rsidR="00711DF0" w:rsidRDefault="00711DF0" w:rsidP="003F0CA1">
      <w:pPr>
        <w:numPr>
          <w:ilvl w:val="2"/>
          <w:numId w:val="2"/>
        </w:numPr>
        <w:spacing w:before="240"/>
      </w:pPr>
      <w:r w:rsidRPr="003F0CA1">
        <w:rPr>
          <w:rStyle w:val="Strong"/>
        </w:rPr>
        <w:t>Triangular Bandage.</w:t>
      </w:r>
      <w:r>
        <w:t xml:space="preserve">  Each bandage shall be made from muslin at least 60/48 weave or a material of equivalent mechanical strength.  When unfolded, the outer dimensions of the bandage shall be at least 40 x 40 x 56 in. (101 x 101 x 142 cm).  The bandage shall be folded in cravat form.</w:t>
      </w:r>
    </w:p>
    <w:p w:rsidR="00711DF0" w:rsidRPr="003F0CA1" w:rsidRDefault="00711DF0" w:rsidP="003F0CA1">
      <w:pPr>
        <w:numPr>
          <w:ilvl w:val="1"/>
          <w:numId w:val="2"/>
        </w:numPr>
        <w:tabs>
          <w:tab w:val="clear" w:pos="480"/>
          <w:tab w:val="num" w:pos="720"/>
        </w:tabs>
        <w:spacing w:before="240"/>
        <w:rPr>
          <w:rStyle w:val="Strong"/>
        </w:rPr>
      </w:pPr>
      <w:r w:rsidRPr="003F0CA1">
        <w:rPr>
          <w:rStyle w:val="Strong"/>
        </w:rPr>
        <w:t>Minimum Requirements of Optional Fill Contents  (see section 5.1.2)</w:t>
      </w:r>
    </w:p>
    <w:p w:rsidR="00711DF0" w:rsidRDefault="00711DF0">
      <w:pPr>
        <w:ind w:left="720"/>
      </w:pPr>
      <w:r>
        <w:t>Optional items specifically addressed in this section shall meet all of the applicable requirements of this section.  Items not addressed by this standard shall be in compliance with standards or regulations, where applicable, established by the U.S. Food and Drug Administration (FDA), the current edition of the U.S. Pharmacopoeia/National Formulary (USP/NF) or any other equivalent standard writing body.</w:t>
      </w:r>
    </w:p>
    <w:p w:rsidR="00711DF0" w:rsidRDefault="00711DF0" w:rsidP="003F0CA1">
      <w:pPr>
        <w:numPr>
          <w:ilvl w:val="2"/>
          <w:numId w:val="2"/>
        </w:numPr>
        <w:spacing w:before="240"/>
      </w:pPr>
      <w:r w:rsidRPr="003F0CA1">
        <w:rPr>
          <w:rStyle w:val="Strong"/>
        </w:rPr>
        <w:t>Bandage Compress.</w:t>
      </w:r>
      <w:r>
        <w:t xml:space="preserve">  Each bandage compress shall consist of an absorbent, non-adherent pad substantially free from loose ends and raveling and constructed from a material having at least the equivalent absorbency of 16 thickness of Type III (28/24) absorbent gauze as defined by the current edition of the USP/NF.  The compress shall be securely attached to a continuous bandage substantially free from loose ends and raveling, constructed from material having the equivalent strength of Type I (44/36) gauze.  The bandage shall be pleated or rolled to provide easy opening and application.  Each bandage compress shall be individually packaged, sealed and sterile.  Bandage compresses shall conform to one of the sizes shown in Table 5-2.</w:t>
      </w:r>
    </w:p>
    <w:p w:rsidR="00711DF0" w:rsidRDefault="00711DF0" w:rsidP="003F0CA1">
      <w:pPr>
        <w:numPr>
          <w:ilvl w:val="2"/>
          <w:numId w:val="2"/>
        </w:numPr>
        <w:spacing w:before="240"/>
      </w:pPr>
      <w:r w:rsidRPr="003F0CA1">
        <w:rPr>
          <w:rStyle w:val="Strong"/>
        </w:rPr>
        <w:t xml:space="preserve">Eye Covering. </w:t>
      </w:r>
      <w:r>
        <w:t xml:space="preserve"> Eye covering(s) shall have the ability to cover both eyes, an area of at least 2.9 sq. in. (19 sq. cm) per eye, and conform to each eye cavity.  The covering shall have a thickness of at least 1/4 in. (0.64 cm) when not compressed.  Each eye covering shall have at least the absorbency of absorbent gauze as defined by the current edition of the USP/NF.  The eye covering shall be free of loose threads and reveled edges.  Each eye covering shall be individually packaged, sealed, and sterile.</w:t>
      </w:r>
    </w:p>
    <w:p w:rsidR="00711DF0" w:rsidRPr="003F0CA1" w:rsidRDefault="00711DF0" w:rsidP="003F0CA1">
      <w:pPr>
        <w:spacing w:before="240"/>
        <w:rPr>
          <w:rStyle w:val="Strong"/>
        </w:rPr>
      </w:pPr>
      <w:r w:rsidRPr="003F0CA1">
        <w:rPr>
          <w:rStyle w:val="Strong"/>
        </w:rPr>
        <w:t xml:space="preserve">Table </w:t>
      </w:r>
      <w:proofErr w:type="gramStart"/>
      <w:r w:rsidRPr="003F0CA1">
        <w:rPr>
          <w:rStyle w:val="Strong"/>
        </w:rPr>
        <w:t>5.2  Dimensions</w:t>
      </w:r>
      <w:proofErr w:type="gramEnd"/>
      <w:r w:rsidRPr="003F0CA1">
        <w:rPr>
          <w:rStyle w:val="Strong"/>
        </w:rPr>
        <w:t xml:space="preserve"> of Bandage Compress (+- 1/8 in. ; +- 0.32 cm)</w:t>
      </w:r>
    </w:p>
    <w:p w:rsidR="00711DF0" w:rsidRDefault="00711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711DF0" w:rsidTr="003F0CA1">
        <w:tblPrEx>
          <w:tblCellMar>
            <w:top w:w="0" w:type="dxa"/>
            <w:bottom w:w="0" w:type="dxa"/>
          </w:tblCellMar>
        </w:tblPrEx>
        <w:trPr>
          <w:cantSplit/>
          <w:tblHeader/>
        </w:trPr>
        <w:tc>
          <w:tcPr>
            <w:tcW w:w="2952" w:type="dxa"/>
            <w:gridSpan w:val="2"/>
          </w:tcPr>
          <w:p w:rsidR="00711DF0" w:rsidRPr="003F0CA1" w:rsidRDefault="00711DF0">
            <w:pPr>
              <w:jc w:val="center"/>
              <w:rPr>
                <w:rStyle w:val="Strong"/>
              </w:rPr>
            </w:pPr>
            <w:r w:rsidRPr="003F0CA1">
              <w:rPr>
                <w:rStyle w:val="Strong"/>
              </w:rPr>
              <w:t>Pad Size</w:t>
            </w:r>
          </w:p>
        </w:tc>
        <w:tc>
          <w:tcPr>
            <w:tcW w:w="2952" w:type="dxa"/>
            <w:gridSpan w:val="2"/>
          </w:tcPr>
          <w:p w:rsidR="00711DF0" w:rsidRPr="003F0CA1" w:rsidRDefault="00711DF0">
            <w:pPr>
              <w:jc w:val="center"/>
              <w:rPr>
                <w:rStyle w:val="Strong"/>
              </w:rPr>
            </w:pPr>
            <w:r w:rsidRPr="003F0CA1">
              <w:rPr>
                <w:rStyle w:val="Strong"/>
              </w:rPr>
              <w:t>Continuous Bandage</w:t>
            </w:r>
          </w:p>
        </w:tc>
        <w:tc>
          <w:tcPr>
            <w:tcW w:w="2952" w:type="dxa"/>
            <w:gridSpan w:val="2"/>
          </w:tcPr>
          <w:p w:rsidR="00711DF0" w:rsidRPr="003F0CA1" w:rsidRDefault="00711DF0">
            <w:pPr>
              <w:jc w:val="center"/>
              <w:rPr>
                <w:rStyle w:val="Strong"/>
              </w:rPr>
            </w:pPr>
            <w:r w:rsidRPr="003F0CA1">
              <w:rPr>
                <w:rStyle w:val="Strong"/>
              </w:rPr>
              <w:t>Opening Size of Pad</w:t>
            </w:r>
          </w:p>
        </w:tc>
      </w:tr>
      <w:tr w:rsidR="00711DF0" w:rsidTr="003F0CA1">
        <w:tblPrEx>
          <w:tblCellMar>
            <w:top w:w="0" w:type="dxa"/>
            <w:bottom w:w="0" w:type="dxa"/>
          </w:tblCellMar>
        </w:tblPrEx>
        <w:trPr>
          <w:tblHeader/>
        </w:trPr>
        <w:tc>
          <w:tcPr>
            <w:tcW w:w="1476" w:type="dxa"/>
          </w:tcPr>
          <w:p w:rsidR="00711DF0" w:rsidRPr="003F0CA1" w:rsidRDefault="00711DF0">
            <w:pPr>
              <w:jc w:val="center"/>
              <w:rPr>
                <w:rStyle w:val="Strong"/>
              </w:rPr>
            </w:pPr>
            <w:r w:rsidRPr="003F0CA1">
              <w:rPr>
                <w:rStyle w:val="Strong"/>
              </w:rPr>
              <w:t>in.</w:t>
            </w:r>
          </w:p>
        </w:tc>
        <w:tc>
          <w:tcPr>
            <w:tcW w:w="1476" w:type="dxa"/>
          </w:tcPr>
          <w:p w:rsidR="00711DF0" w:rsidRPr="003F0CA1" w:rsidRDefault="00711DF0">
            <w:pPr>
              <w:jc w:val="center"/>
              <w:rPr>
                <w:rStyle w:val="Strong"/>
              </w:rPr>
            </w:pPr>
            <w:r w:rsidRPr="003F0CA1">
              <w:rPr>
                <w:rStyle w:val="Strong"/>
              </w:rPr>
              <w:t>cm</w:t>
            </w:r>
          </w:p>
        </w:tc>
        <w:tc>
          <w:tcPr>
            <w:tcW w:w="1476" w:type="dxa"/>
          </w:tcPr>
          <w:p w:rsidR="00711DF0" w:rsidRPr="003F0CA1" w:rsidRDefault="00711DF0">
            <w:pPr>
              <w:jc w:val="center"/>
              <w:rPr>
                <w:rStyle w:val="Strong"/>
              </w:rPr>
            </w:pPr>
            <w:r w:rsidRPr="003F0CA1">
              <w:rPr>
                <w:rStyle w:val="Strong"/>
              </w:rPr>
              <w:t>in.</w:t>
            </w:r>
          </w:p>
        </w:tc>
        <w:tc>
          <w:tcPr>
            <w:tcW w:w="1476" w:type="dxa"/>
          </w:tcPr>
          <w:p w:rsidR="00711DF0" w:rsidRPr="003F0CA1" w:rsidRDefault="00711DF0">
            <w:pPr>
              <w:jc w:val="center"/>
              <w:rPr>
                <w:rStyle w:val="Strong"/>
              </w:rPr>
            </w:pPr>
            <w:r w:rsidRPr="003F0CA1">
              <w:rPr>
                <w:rStyle w:val="Strong"/>
              </w:rPr>
              <w:t>cm</w:t>
            </w:r>
          </w:p>
        </w:tc>
        <w:tc>
          <w:tcPr>
            <w:tcW w:w="1476" w:type="dxa"/>
          </w:tcPr>
          <w:p w:rsidR="00711DF0" w:rsidRPr="003F0CA1" w:rsidRDefault="00711DF0">
            <w:pPr>
              <w:jc w:val="center"/>
              <w:rPr>
                <w:rStyle w:val="Strong"/>
              </w:rPr>
            </w:pPr>
            <w:r w:rsidRPr="003F0CA1">
              <w:rPr>
                <w:rStyle w:val="Strong"/>
              </w:rPr>
              <w:t>in.</w:t>
            </w:r>
          </w:p>
        </w:tc>
        <w:tc>
          <w:tcPr>
            <w:tcW w:w="1476" w:type="dxa"/>
          </w:tcPr>
          <w:p w:rsidR="00711DF0" w:rsidRPr="003F0CA1" w:rsidRDefault="00711DF0">
            <w:pPr>
              <w:jc w:val="center"/>
              <w:rPr>
                <w:rStyle w:val="Strong"/>
              </w:rPr>
            </w:pPr>
            <w:r w:rsidRPr="003F0CA1">
              <w:rPr>
                <w:rStyle w:val="Strong"/>
              </w:rPr>
              <w:t>cm</w:t>
            </w:r>
          </w:p>
        </w:tc>
      </w:tr>
      <w:tr w:rsidR="00711DF0">
        <w:tblPrEx>
          <w:tblCellMar>
            <w:top w:w="0" w:type="dxa"/>
            <w:bottom w:w="0" w:type="dxa"/>
          </w:tblCellMar>
        </w:tblPrEx>
        <w:tc>
          <w:tcPr>
            <w:tcW w:w="1476" w:type="dxa"/>
          </w:tcPr>
          <w:p w:rsidR="00711DF0" w:rsidRDefault="00711DF0">
            <w:pPr>
              <w:jc w:val="center"/>
            </w:pPr>
            <w:r>
              <w:t>2 x 2</w:t>
            </w:r>
          </w:p>
        </w:tc>
        <w:tc>
          <w:tcPr>
            <w:tcW w:w="1476" w:type="dxa"/>
          </w:tcPr>
          <w:p w:rsidR="00711DF0" w:rsidRDefault="00711DF0">
            <w:pPr>
              <w:jc w:val="center"/>
            </w:pPr>
            <w:r>
              <w:t>5 x 5</w:t>
            </w:r>
          </w:p>
        </w:tc>
        <w:tc>
          <w:tcPr>
            <w:tcW w:w="1476" w:type="dxa"/>
          </w:tcPr>
          <w:p w:rsidR="00711DF0" w:rsidRDefault="00711DF0">
            <w:pPr>
              <w:jc w:val="center"/>
            </w:pPr>
            <w:r>
              <w:t>2 x 36</w:t>
            </w:r>
          </w:p>
        </w:tc>
        <w:tc>
          <w:tcPr>
            <w:tcW w:w="1476" w:type="dxa"/>
          </w:tcPr>
          <w:p w:rsidR="00711DF0" w:rsidRDefault="00711DF0">
            <w:pPr>
              <w:jc w:val="center"/>
            </w:pPr>
            <w:r>
              <w:t>5 x 90</w:t>
            </w:r>
          </w:p>
        </w:tc>
        <w:tc>
          <w:tcPr>
            <w:tcW w:w="1476" w:type="dxa"/>
          </w:tcPr>
          <w:p w:rsidR="00711DF0" w:rsidRDefault="00711DF0">
            <w:pPr>
              <w:jc w:val="center"/>
            </w:pPr>
            <w:r>
              <w:t>2 x 4</w:t>
            </w:r>
          </w:p>
        </w:tc>
        <w:tc>
          <w:tcPr>
            <w:tcW w:w="1476" w:type="dxa"/>
          </w:tcPr>
          <w:p w:rsidR="00711DF0" w:rsidRDefault="00711DF0">
            <w:pPr>
              <w:jc w:val="center"/>
            </w:pPr>
            <w:r>
              <w:t>5 x 10</w:t>
            </w:r>
          </w:p>
        </w:tc>
      </w:tr>
      <w:tr w:rsidR="00711DF0">
        <w:tblPrEx>
          <w:tblCellMar>
            <w:top w:w="0" w:type="dxa"/>
            <w:bottom w:w="0" w:type="dxa"/>
          </w:tblCellMar>
        </w:tblPrEx>
        <w:tc>
          <w:tcPr>
            <w:tcW w:w="1476" w:type="dxa"/>
          </w:tcPr>
          <w:p w:rsidR="00711DF0" w:rsidRDefault="00711DF0">
            <w:pPr>
              <w:jc w:val="center"/>
            </w:pPr>
            <w:r>
              <w:t>3 x 3</w:t>
            </w:r>
          </w:p>
        </w:tc>
        <w:tc>
          <w:tcPr>
            <w:tcW w:w="1476" w:type="dxa"/>
          </w:tcPr>
          <w:p w:rsidR="00711DF0" w:rsidRDefault="00711DF0">
            <w:pPr>
              <w:jc w:val="center"/>
            </w:pPr>
            <w:r>
              <w:t>7.5 x 7.5</w:t>
            </w:r>
          </w:p>
        </w:tc>
        <w:tc>
          <w:tcPr>
            <w:tcW w:w="1476" w:type="dxa"/>
          </w:tcPr>
          <w:p w:rsidR="00711DF0" w:rsidRDefault="00711DF0">
            <w:pPr>
              <w:jc w:val="center"/>
            </w:pPr>
            <w:r>
              <w:t>3 x 60</w:t>
            </w:r>
          </w:p>
        </w:tc>
        <w:tc>
          <w:tcPr>
            <w:tcW w:w="1476" w:type="dxa"/>
          </w:tcPr>
          <w:p w:rsidR="00711DF0" w:rsidRDefault="00711DF0">
            <w:pPr>
              <w:jc w:val="center"/>
            </w:pPr>
            <w:r>
              <w:t>7.5 x 152</w:t>
            </w:r>
          </w:p>
        </w:tc>
        <w:tc>
          <w:tcPr>
            <w:tcW w:w="1476" w:type="dxa"/>
          </w:tcPr>
          <w:p w:rsidR="00711DF0" w:rsidRDefault="00711DF0">
            <w:pPr>
              <w:jc w:val="center"/>
            </w:pPr>
            <w:r>
              <w:t>3 x 6</w:t>
            </w:r>
          </w:p>
        </w:tc>
        <w:tc>
          <w:tcPr>
            <w:tcW w:w="1476" w:type="dxa"/>
          </w:tcPr>
          <w:p w:rsidR="00711DF0" w:rsidRDefault="00711DF0">
            <w:pPr>
              <w:jc w:val="center"/>
            </w:pPr>
            <w:r>
              <w:t>7.5 x 15</w:t>
            </w:r>
          </w:p>
        </w:tc>
      </w:tr>
      <w:tr w:rsidR="00711DF0">
        <w:tblPrEx>
          <w:tblCellMar>
            <w:top w:w="0" w:type="dxa"/>
            <w:bottom w:w="0" w:type="dxa"/>
          </w:tblCellMar>
        </w:tblPrEx>
        <w:tc>
          <w:tcPr>
            <w:tcW w:w="1476" w:type="dxa"/>
          </w:tcPr>
          <w:p w:rsidR="00711DF0" w:rsidRDefault="00711DF0">
            <w:pPr>
              <w:jc w:val="center"/>
            </w:pPr>
            <w:r>
              <w:t>4 x 4</w:t>
            </w:r>
          </w:p>
        </w:tc>
        <w:tc>
          <w:tcPr>
            <w:tcW w:w="1476" w:type="dxa"/>
          </w:tcPr>
          <w:p w:rsidR="00711DF0" w:rsidRDefault="00711DF0">
            <w:pPr>
              <w:jc w:val="center"/>
            </w:pPr>
            <w:r>
              <w:t>10 x 10</w:t>
            </w:r>
          </w:p>
        </w:tc>
        <w:tc>
          <w:tcPr>
            <w:tcW w:w="1476" w:type="dxa"/>
          </w:tcPr>
          <w:p w:rsidR="00711DF0" w:rsidRDefault="00711DF0">
            <w:pPr>
              <w:jc w:val="center"/>
            </w:pPr>
            <w:r>
              <w:t>4 x 72</w:t>
            </w:r>
          </w:p>
        </w:tc>
        <w:tc>
          <w:tcPr>
            <w:tcW w:w="1476" w:type="dxa"/>
          </w:tcPr>
          <w:p w:rsidR="00711DF0" w:rsidRDefault="00711DF0">
            <w:pPr>
              <w:jc w:val="center"/>
            </w:pPr>
            <w:r>
              <w:t>10 x 180</w:t>
            </w:r>
          </w:p>
        </w:tc>
        <w:tc>
          <w:tcPr>
            <w:tcW w:w="1476" w:type="dxa"/>
          </w:tcPr>
          <w:p w:rsidR="00711DF0" w:rsidRDefault="00711DF0">
            <w:pPr>
              <w:jc w:val="center"/>
            </w:pPr>
            <w:r>
              <w:t>4 x 8</w:t>
            </w:r>
          </w:p>
        </w:tc>
        <w:tc>
          <w:tcPr>
            <w:tcW w:w="1476" w:type="dxa"/>
          </w:tcPr>
          <w:p w:rsidR="00711DF0" w:rsidRDefault="00711DF0">
            <w:pPr>
              <w:jc w:val="center"/>
            </w:pPr>
            <w:r>
              <w:t>10 x 20</w:t>
            </w:r>
          </w:p>
        </w:tc>
      </w:tr>
    </w:tbl>
    <w:p w:rsidR="00711DF0" w:rsidRPr="00E63727" w:rsidRDefault="00711DF0" w:rsidP="00E63727">
      <w:pPr>
        <w:numPr>
          <w:ilvl w:val="2"/>
          <w:numId w:val="2"/>
        </w:numPr>
        <w:spacing w:before="240"/>
      </w:pPr>
      <w:r w:rsidRPr="00E63727">
        <w:rPr>
          <w:rStyle w:val="Strong"/>
        </w:rPr>
        <w:t>Eye Wash</w:t>
      </w:r>
      <w:r w:rsidRPr="00E63727">
        <w:t xml:space="preserve">.  A minimum of 30 ml (1 </w:t>
      </w:r>
      <w:proofErr w:type="spellStart"/>
      <w:r w:rsidRPr="00E63727">
        <w:t>fl</w:t>
      </w:r>
      <w:proofErr w:type="spellEnd"/>
      <w:r w:rsidRPr="00E63727">
        <w:t xml:space="preserve"> oz.) of a sterile, isotonic, buffered solution as specified by the FDA in 21 CFR 349 shall be contained in at least 15 ml (0.5 f. oz.) individual-use applications.</w:t>
      </w:r>
    </w:p>
    <w:p w:rsidR="00711DF0" w:rsidRDefault="00711DF0"/>
    <w:p w:rsidR="00711DF0" w:rsidRPr="00E63727" w:rsidRDefault="00711DF0">
      <w:pPr>
        <w:numPr>
          <w:ilvl w:val="2"/>
          <w:numId w:val="2"/>
        </w:numPr>
      </w:pPr>
      <w:r w:rsidRPr="00E63727">
        <w:rPr>
          <w:rStyle w:val="Strong"/>
        </w:rPr>
        <w:t xml:space="preserve">Cold Pack.  </w:t>
      </w:r>
      <w:r w:rsidRPr="00E63727">
        <w:t xml:space="preserve">Each cold pack shall be at least 5 x 4 in.  (10 x 12.5 cm) in size and shall reach a temperature </w:t>
      </w:r>
      <w:proofErr w:type="gramStart"/>
      <w:r w:rsidRPr="00E63727">
        <w:t xml:space="preserve">between 20 - 40 </w:t>
      </w:r>
      <w:r w:rsidRPr="00E63727">
        <w:sym w:font="Symbol" w:char="F0B0"/>
      </w:r>
      <w:r w:rsidRPr="00E63727">
        <w:t>F</w:t>
      </w:r>
      <w:proofErr w:type="gramEnd"/>
      <w:r w:rsidRPr="00E63727">
        <w:t xml:space="preserve"> (-6 - 4</w:t>
      </w:r>
      <w:r w:rsidRPr="00E63727">
        <w:sym w:font="Symbol" w:char="F0B0"/>
      </w:r>
      <w:r w:rsidRPr="00E63727">
        <w:t xml:space="preserve"> C) within 10 seconds of activation.  The cold pack shall maintain a temperature </w:t>
      </w:r>
      <w:proofErr w:type="gramStart"/>
      <w:r w:rsidRPr="00E63727">
        <w:t>between 20 - 40</w:t>
      </w:r>
      <w:r w:rsidRPr="00E63727">
        <w:sym w:font="Symbol" w:char="F0B0"/>
      </w:r>
      <w:r w:rsidRPr="00E63727">
        <w:t>F</w:t>
      </w:r>
      <w:proofErr w:type="gramEnd"/>
      <w:r w:rsidRPr="00E63727">
        <w:t xml:space="preserve"> (-6 - 4</w:t>
      </w:r>
      <w:r w:rsidRPr="00E63727">
        <w:sym w:font="Symbol" w:char="F0B0"/>
      </w:r>
      <w:r w:rsidRPr="00E63727">
        <w:t xml:space="preserve"> C) for a period of at least 15 minutes when tested at room temperature of 70 </w:t>
      </w:r>
      <w:r w:rsidRPr="00E63727">
        <w:sym w:font="Symbol" w:char="F0B1"/>
      </w:r>
      <w:r w:rsidRPr="00E63727">
        <w:t xml:space="preserve"> 2</w:t>
      </w:r>
      <w:r w:rsidRPr="00E63727">
        <w:sym w:font="Symbol" w:char="F0B0"/>
      </w:r>
      <w:r w:rsidRPr="00E63727">
        <w:t xml:space="preserve">F (-16 </w:t>
      </w:r>
      <w:r w:rsidRPr="00E63727">
        <w:sym w:font="Symbol" w:char="F0B1"/>
      </w:r>
      <w:r w:rsidRPr="00E63727">
        <w:t xml:space="preserve"> 2</w:t>
      </w:r>
      <w:r w:rsidRPr="00E63727">
        <w:sym w:font="Symbol" w:char="F0B0"/>
      </w:r>
      <w:r w:rsidRPr="00E63727">
        <w:t xml:space="preserve"> C).</w:t>
      </w:r>
    </w:p>
    <w:p w:rsidR="00711DF0" w:rsidRDefault="00711DF0" w:rsidP="00E63727">
      <w:pPr>
        <w:numPr>
          <w:ilvl w:val="2"/>
          <w:numId w:val="2"/>
        </w:numPr>
        <w:spacing w:before="240"/>
      </w:pPr>
      <w:r w:rsidRPr="00E63727">
        <w:rPr>
          <w:rStyle w:val="Strong"/>
        </w:rPr>
        <w:t>Roller Bandage.</w:t>
      </w:r>
      <w:r>
        <w:t xml:space="preserve">  </w:t>
      </w:r>
      <w:r w:rsidRPr="00E63727">
        <w:t xml:space="preserve">Each roller bandage shall be at least 2 in. (5 cm) wide and at least 6 </w:t>
      </w:r>
      <w:proofErr w:type="spellStart"/>
      <w:r w:rsidRPr="00E63727">
        <w:t>yd</w:t>
      </w:r>
      <w:proofErr w:type="spellEnd"/>
      <w:r w:rsidRPr="00E63727">
        <w:t xml:space="preserve"> (550 cm) long.  Each bandage shall be constructed from a material at least the equivalent strength of Type I (44/36) gauze as defined by the current edition of USP/NF.   Each bandage shall be substantially free from loose threads and raveling.  Each bandage shall be individually packaged, sealed, and sterile.</w:t>
      </w:r>
    </w:p>
    <w:sectPr w:rsidR="00711D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F32"/>
    <w:multiLevelType w:val="multilevel"/>
    <w:tmpl w:val="47ECB28C"/>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41F2ABE"/>
    <w:multiLevelType w:val="multilevel"/>
    <w:tmpl w:val="CD002E3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0"/>
    <w:rsid w:val="003F0CA1"/>
    <w:rsid w:val="00561972"/>
    <w:rsid w:val="005F7850"/>
    <w:rsid w:val="00711DF0"/>
    <w:rsid w:val="007E27AD"/>
    <w:rsid w:val="00E6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A1"/>
    <w:rPr>
      <w:sz w:val="24"/>
    </w:rPr>
  </w:style>
  <w:style w:type="paragraph" w:styleId="Heading1">
    <w:name w:val="heading 1"/>
    <w:basedOn w:val="Normal"/>
    <w:next w:val="Normal"/>
    <w:link w:val="Heading1Char"/>
    <w:uiPriority w:val="9"/>
    <w:qFormat/>
    <w:rsid w:val="00E63727"/>
    <w:pPr>
      <w:keepNext/>
      <w:outlineLvl w:val="0"/>
    </w:pPr>
    <w:rPr>
      <w:rFonts w:ascii="Cambria" w:hAnsi="Cambria"/>
      <w:b/>
      <w:bCs/>
      <w:i/>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DF0"/>
    <w:pPr>
      <w:jc w:val="center"/>
      <w:outlineLvl w:val="0"/>
    </w:pPr>
    <w:rPr>
      <w:rFonts w:ascii="Cambria" w:hAnsi="Cambria"/>
      <w:b/>
      <w:bCs/>
      <w:kern w:val="28"/>
      <w:sz w:val="56"/>
      <w:szCs w:val="32"/>
    </w:rPr>
  </w:style>
  <w:style w:type="character" w:customStyle="1" w:styleId="TitleChar">
    <w:name w:val="Title Char"/>
    <w:link w:val="Title"/>
    <w:uiPriority w:val="10"/>
    <w:rsid w:val="00711DF0"/>
    <w:rPr>
      <w:rFonts w:ascii="Cambria" w:eastAsia="Times New Roman" w:hAnsi="Cambria" w:cs="Times New Roman"/>
      <w:b/>
      <w:bCs/>
      <w:kern w:val="28"/>
      <w:sz w:val="56"/>
      <w:szCs w:val="32"/>
    </w:rPr>
  </w:style>
  <w:style w:type="paragraph" w:styleId="Subtitle">
    <w:name w:val="Subtitle"/>
    <w:basedOn w:val="Normal"/>
    <w:next w:val="Normal"/>
    <w:link w:val="SubtitleChar"/>
    <w:uiPriority w:val="11"/>
    <w:qFormat/>
    <w:rsid w:val="00711DF0"/>
    <w:pPr>
      <w:jc w:val="center"/>
      <w:outlineLvl w:val="1"/>
    </w:pPr>
    <w:rPr>
      <w:rFonts w:ascii="Cambria" w:hAnsi="Cambria"/>
      <w:sz w:val="32"/>
      <w:szCs w:val="24"/>
    </w:rPr>
  </w:style>
  <w:style w:type="character" w:customStyle="1" w:styleId="SubtitleChar">
    <w:name w:val="Subtitle Char"/>
    <w:link w:val="Subtitle"/>
    <w:uiPriority w:val="11"/>
    <w:rsid w:val="00711DF0"/>
    <w:rPr>
      <w:rFonts w:ascii="Cambria" w:eastAsia="Times New Roman" w:hAnsi="Cambria" w:cs="Times New Roman"/>
      <w:sz w:val="32"/>
      <w:szCs w:val="24"/>
    </w:rPr>
  </w:style>
  <w:style w:type="character" w:customStyle="1" w:styleId="Heading1Char">
    <w:name w:val="Heading 1 Char"/>
    <w:link w:val="Heading1"/>
    <w:uiPriority w:val="9"/>
    <w:rsid w:val="00E63727"/>
    <w:rPr>
      <w:rFonts w:ascii="Cambria" w:eastAsia="Times New Roman" w:hAnsi="Cambria" w:cs="Times New Roman"/>
      <w:b/>
      <w:bCs/>
      <w:i/>
      <w:kern w:val="32"/>
      <w:sz w:val="32"/>
      <w:szCs w:val="32"/>
    </w:rPr>
  </w:style>
  <w:style w:type="character" w:styleId="Emphasis">
    <w:name w:val="Emphasis"/>
    <w:uiPriority w:val="20"/>
    <w:qFormat/>
    <w:rsid w:val="003F0CA1"/>
    <w:rPr>
      <w:i/>
      <w:iCs/>
    </w:rPr>
  </w:style>
  <w:style w:type="character" w:styleId="Strong">
    <w:name w:val="Strong"/>
    <w:uiPriority w:val="22"/>
    <w:qFormat/>
    <w:rsid w:val="003F0CA1"/>
    <w:rPr>
      <w:b/>
      <w:bCs/>
    </w:rPr>
  </w:style>
  <w:style w:type="character" w:styleId="IntenseEmphasis">
    <w:name w:val="Intense Emphasis"/>
    <w:uiPriority w:val="21"/>
    <w:qFormat/>
    <w:rsid w:val="003F0CA1"/>
    <w:rPr>
      <w:b/>
      <w:bCs/>
      <w:i/>
      <w:iCs/>
      <w:color w:val="auto"/>
    </w:rPr>
  </w:style>
  <w:style w:type="character" w:styleId="SubtleEmphasis">
    <w:name w:val="Subtle Emphasis"/>
    <w:uiPriority w:val="19"/>
    <w:qFormat/>
    <w:rsid w:val="003F0CA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A1"/>
    <w:rPr>
      <w:sz w:val="24"/>
    </w:rPr>
  </w:style>
  <w:style w:type="paragraph" w:styleId="Heading1">
    <w:name w:val="heading 1"/>
    <w:basedOn w:val="Normal"/>
    <w:next w:val="Normal"/>
    <w:link w:val="Heading1Char"/>
    <w:uiPriority w:val="9"/>
    <w:qFormat/>
    <w:rsid w:val="00E63727"/>
    <w:pPr>
      <w:keepNext/>
      <w:outlineLvl w:val="0"/>
    </w:pPr>
    <w:rPr>
      <w:rFonts w:ascii="Cambria" w:hAnsi="Cambria"/>
      <w:b/>
      <w:bCs/>
      <w:i/>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DF0"/>
    <w:pPr>
      <w:jc w:val="center"/>
      <w:outlineLvl w:val="0"/>
    </w:pPr>
    <w:rPr>
      <w:rFonts w:ascii="Cambria" w:hAnsi="Cambria"/>
      <w:b/>
      <w:bCs/>
      <w:kern w:val="28"/>
      <w:sz w:val="56"/>
      <w:szCs w:val="32"/>
    </w:rPr>
  </w:style>
  <w:style w:type="character" w:customStyle="1" w:styleId="TitleChar">
    <w:name w:val="Title Char"/>
    <w:link w:val="Title"/>
    <w:uiPriority w:val="10"/>
    <w:rsid w:val="00711DF0"/>
    <w:rPr>
      <w:rFonts w:ascii="Cambria" w:eastAsia="Times New Roman" w:hAnsi="Cambria" w:cs="Times New Roman"/>
      <w:b/>
      <w:bCs/>
      <w:kern w:val="28"/>
      <w:sz w:val="56"/>
      <w:szCs w:val="32"/>
    </w:rPr>
  </w:style>
  <w:style w:type="paragraph" w:styleId="Subtitle">
    <w:name w:val="Subtitle"/>
    <w:basedOn w:val="Normal"/>
    <w:next w:val="Normal"/>
    <w:link w:val="SubtitleChar"/>
    <w:uiPriority w:val="11"/>
    <w:qFormat/>
    <w:rsid w:val="00711DF0"/>
    <w:pPr>
      <w:jc w:val="center"/>
      <w:outlineLvl w:val="1"/>
    </w:pPr>
    <w:rPr>
      <w:rFonts w:ascii="Cambria" w:hAnsi="Cambria"/>
      <w:sz w:val="32"/>
      <w:szCs w:val="24"/>
    </w:rPr>
  </w:style>
  <w:style w:type="character" w:customStyle="1" w:styleId="SubtitleChar">
    <w:name w:val="Subtitle Char"/>
    <w:link w:val="Subtitle"/>
    <w:uiPriority w:val="11"/>
    <w:rsid w:val="00711DF0"/>
    <w:rPr>
      <w:rFonts w:ascii="Cambria" w:eastAsia="Times New Roman" w:hAnsi="Cambria" w:cs="Times New Roman"/>
      <w:sz w:val="32"/>
      <w:szCs w:val="24"/>
    </w:rPr>
  </w:style>
  <w:style w:type="character" w:customStyle="1" w:styleId="Heading1Char">
    <w:name w:val="Heading 1 Char"/>
    <w:link w:val="Heading1"/>
    <w:uiPriority w:val="9"/>
    <w:rsid w:val="00E63727"/>
    <w:rPr>
      <w:rFonts w:ascii="Cambria" w:eastAsia="Times New Roman" w:hAnsi="Cambria" w:cs="Times New Roman"/>
      <w:b/>
      <w:bCs/>
      <w:i/>
      <w:kern w:val="32"/>
      <w:sz w:val="32"/>
      <w:szCs w:val="32"/>
    </w:rPr>
  </w:style>
  <w:style w:type="character" w:styleId="Emphasis">
    <w:name w:val="Emphasis"/>
    <w:uiPriority w:val="20"/>
    <w:qFormat/>
    <w:rsid w:val="003F0CA1"/>
    <w:rPr>
      <w:i/>
      <w:iCs/>
    </w:rPr>
  </w:style>
  <w:style w:type="character" w:styleId="Strong">
    <w:name w:val="Strong"/>
    <w:uiPriority w:val="22"/>
    <w:qFormat/>
    <w:rsid w:val="003F0CA1"/>
    <w:rPr>
      <w:b/>
      <w:bCs/>
    </w:rPr>
  </w:style>
  <w:style w:type="character" w:styleId="IntenseEmphasis">
    <w:name w:val="Intense Emphasis"/>
    <w:uiPriority w:val="21"/>
    <w:qFormat/>
    <w:rsid w:val="003F0CA1"/>
    <w:rPr>
      <w:b/>
      <w:bCs/>
      <w:i/>
      <w:iCs/>
      <w:color w:val="auto"/>
    </w:rPr>
  </w:style>
  <w:style w:type="character" w:styleId="SubtleEmphasis">
    <w:name w:val="Subtle Emphasis"/>
    <w:uiPriority w:val="19"/>
    <w:qFormat/>
    <w:rsid w:val="003F0CA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FEAFB570.dotm</Template>
  <TotalTime>0</TotalTime>
  <Pages>4</Pages>
  <Words>1369</Words>
  <Characters>6378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 Poly University</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&amp; Finance</dc:creator>
  <cp:lastModifiedBy>atessin</cp:lastModifiedBy>
  <cp:revision>2</cp:revision>
  <cp:lastPrinted>1998-10-23T19:35:00Z</cp:lastPrinted>
  <dcterms:created xsi:type="dcterms:W3CDTF">2012-01-19T22:47:00Z</dcterms:created>
  <dcterms:modified xsi:type="dcterms:W3CDTF">2012-01-19T22:47:00Z</dcterms:modified>
</cp:coreProperties>
</file>