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146" w:rsidRDefault="00406A80">
      <w:pPr>
        <w:pStyle w:val="Title"/>
        <w:spacing w:before="47"/>
      </w:pPr>
      <w:r>
        <w:t>Correcting and Resubmitting an Expense Report</w:t>
      </w:r>
    </w:p>
    <w:p w:rsidR="005E3146" w:rsidRDefault="005E3146">
      <w:pPr>
        <w:pStyle w:val="BodyText"/>
        <w:rPr>
          <w:b/>
          <w:sz w:val="20"/>
        </w:rPr>
      </w:pPr>
    </w:p>
    <w:p w:rsidR="005E3146" w:rsidRDefault="005E3146">
      <w:pPr>
        <w:pStyle w:val="BodyText"/>
        <w:rPr>
          <w:b/>
          <w:sz w:val="20"/>
        </w:rPr>
      </w:pPr>
    </w:p>
    <w:p w:rsidR="005E3146" w:rsidRDefault="005E3146">
      <w:pPr>
        <w:pStyle w:val="BodyText"/>
        <w:rPr>
          <w:b/>
          <w:sz w:val="20"/>
        </w:rPr>
      </w:pPr>
    </w:p>
    <w:p w:rsidR="005E3146" w:rsidRDefault="005E3146">
      <w:pPr>
        <w:pStyle w:val="BodyText"/>
        <w:rPr>
          <w:b/>
          <w:sz w:val="20"/>
        </w:rPr>
      </w:pPr>
    </w:p>
    <w:p w:rsidR="005E3146" w:rsidRDefault="005E3146">
      <w:pPr>
        <w:pStyle w:val="BodyText"/>
        <w:rPr>
          <w:b/>
          <w:sz w:val="20"/>
        </w:rPr>
      </w:pPr>
    </w:p>
    <w:p w:rsidR="005E3146" w:rsidRDefault="005E3146">
      <w:pPr>
        <w:pStyle w:val="BodyText"/>
        <w:rPr>
          <w:b/>
          <w:sz w:val="20"/>
        </w:rPr>
      </w:pPr>
    </w:p>
    <w:p w:rsidR="005E3146" w:rsidRDefault="005E3146">
      <w:pPr>
        <w:pStyle w:val="BodyText"/>
        <w:spacing w:before="10"/>
        <w:rPr>
          <w:b/>
          <w:sz w:val="18"/>
        </w:rPr>
      </w:pPr>
    </w:p>
    <w:p w:rsidR="005E3146" w:rsidRDefault="005E3146">
      <w:pPr>
        <w:pStyle w:val="BodyText"/>
        <w:rPr>
          <w:b/>
          <w:sz w:val="20"/>
        </w:rPr>
      </w:pPr>
    </w:p>
    <w:p w:rsidR="005E3146" w:rsidRDefault="005E3146">
      <w:pPr>
        <w:pStyle w:val="BodyText"/>
        <w:rPr>
          <w:b/>
          <w:sz w:val="20"/>
        </w:rPr>
      </w:pPr>
    </w:p>
    <w:p w:rsidR="005E3146" w:rsidRDefault="005E3146">
      <w:pPr>
        <w:pStyle w:val="BodyText"/>
        <w:rPr>
          <w:b/>
          <w:sz w:val="20"/>
        </w:rPr>
      </w:pPr>
    </w:p>
    <w:p w:rsidR="005E3146" w:rsidRDefault="005E3146">
      <w:pPr>
        <w:pStyle w:val="BodyText"/>
        <w:rPr>
          <w:b/>
          <w:sz w:val="20"/>
        </w:rPr>
      </w:pPr>
    </w:p>
    <w:p w:rsidR="005E3146" w:rsidRDefault="005E3146">
      <w:pPr>
        <w:pStyle w:val="BodyText"/>
        <w:rPr>
          <w:b/>
          <w:sz w:val="20"/>
        </w:rPr>
      </w:pPr>
    </w:p>
    <w:p w:rsidR="005E3146" w:rsidRDefault="005E3146">
      <w:pPr>
        <w:pStyle w:val="BodyText"/>
        <w:rPr>
          <w:b/>
          <w:sz w:val="20"/>
        </w:rPr>
      </w:pPr>
    </w:p>
    <w:p w:rsidR="005E3146" w:rsidRDefault="005E3146">
      <w:pPr>
        <w:pStyle w:val="BodyText"/>
        <w:rPr>
          <w:b/>
          <w:sz w:val="20"/>
        </w:rPr>
      </w:pPr>
    </w:p>
    <w:p w:rsidR="005E3146" w:rsidRDefault="005E3146">
      <w:pPr>
        <w:pStyle w:val="BodyText"/>
        <w:rPr>
          <w:b/>
          <w:sz w:val="20"/>
        </w:rPr>
      </w:pPr>
    </w:p>
    <w:p w:rsidR="005E3146" w:rsidRDefault="005E3146">
      <w:pPr>
        <w:pStyle w:val="BodyText"/>
        <w:rPr>
          <w:b/>
          <w:sz w:val="20"/>
        </w:rPr>
      </w:pPr>
    </w:p>
    <w:p w:rsidR="005E3146" w:rsidRDefault="005E3146">
      <w:pPr>
        <w:pStyle w:val="BodyText"/>
        <w:rPr>
          <w:b/>
          <w:sz w:val="20"/>
        </w:rPr>
      </w:pPr>
    </w:p>
    <w:p w:rsidR="005E3146" w:rsidRDefault="005E3146">
      <w:pPr>
        <w:pStyle w:val="BodyText"/>
        <w:rPr>
          <w:b/>
          <w:sz w:val="20"/>
        </w:rPr>
      </w:pPr>
    </w:p>
    <w:p w:rsidR="005E3146" w:rsidRDefault="005E3146">
      <w:pPr>
        <w:pStyle w:val="BodyText"/>
        <w:rPr>
          <w:b/>
          <w:sz w:val="20"/>
        </w:rPr>
      </w:pPr>
    </w:p>
    <w:p w:rsidR="005E3146" w:rsidRDefault="005E3146">
      <w:pPr>
        <w:pStyle w:val="BodyText"/>
        <w:rPr>
          <w:b/>
          <w:sz w:val="20"/>
        </w:rPr>
      </w:pPr>
    </w:p>
    <w:p w:rsidR="005E3146" w:rsidRDefault="005E3146">
      <w:pPr>
        <w:pStyle w:val="BodyText"/>
        <w:rPr>
          <w:b/>
          <w:sz w:val="20"/>
        </w:rPr>
      </w:pPr>
    </w:p>
    <w:p w:rsidR="005E3146" w:rsidRDefault="005E3146">
      <w:pPr>
        <w:pStyle w:val="BodyText"/>
        <w:rPr>
          <w:b/>
          <w:sz w:val="20"/>
        </w:rPr>
      </w:pPr>
    </w:p>
    <w:p w:rsidR="005E3146" w:rsidRDefault="005E3146">
      <w:pPr>
        <w:pStyle w:val="BodyText"/>
        <w:rPr>
          <w:b/>
          <w:sz w:val="20"/>
        </w:rPr>
      </w:pPr>
    </w:p>
    <w:p w:rsidR="005E3146" w:rsidRDefault="005E3146">
      <w:pPr>
        <w:pStyle w:val="BodyText"/>
        <w:rPr>
          <w:b/>
          <w:sz w:val="20"/>
        </w:rPr>
      </w:pPr>
    </w:p>
    <w:p w:rsidR="005E3146" w:rsidRDefault="005E3146">
      <w:pPr>
        <w:pStyle w:val="BodyText"/>
        <w:rPr>
          <w:b/>
          <w:sz w:val="20"/>
        </w:rPr>
      </w:pPr>
    </w:p>
    <w:p w:rsidR="005E3146" w:rsidRDefault="005E3146">
      <w:pPr>
        <w:pStyle w:val="BodyText"/>
        <w:rPr>
          <w:b/>
          <w:sz w:val="20"/>
        </w:rPr>
      </w:pPr>
    </w:p>
    <w:p w:rsidR="005E3146" w:rsidRDefault="005E3146">
      <w:pPr>
        <w:pStyle w:val="BodyText"/>
        <w:rPr>
          <w:b/>
          <w:sz w:val="20"/>
        </w:rPr>
      </w:pPr>
    </w:p>
    <w:p w:rsidR="005E3146" w:rsidRDefault="005E3146">
      <w:pPr>
        <w:pStyle w:val="BodyText"/>
        <w:rPr>
          <w:b/>
          <w:sz w:val="20"/>
        </w:rPr>
      </w:pPr>
    </w:p>
    <w:p w:rsidR="005E3146" w:rsidRDefault="00316CD8">
      <w:pPr>
        <w:pStyle w:val="BodyText"/>
        <w:rPr>
          <w:b/>
          <w:sz w:val="21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1433537</wp:posOffset>
            </wp:positionH>
            <wp:positionV relativeFrom="paragraph">
              <wp:posOffset>187571</wp:posOffset>
            </wp:positionV>
            <wp:extent cx="4831534" cy="117957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1534" cy="1179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3146" w:rsidRDefault="005E3146">
      <w:pPr>
        <w:rPr>
          <w:sz w:val="21"/>
        </w:rPr>
        <w:sectPr w:rsidR="005E3146">
          <w:footerReference w:type="default" r:id="rId8"/>
          <w:type w:val="continuous"/>
          <w:pgSz w:w="12240" w:h="15840"/>
          <w:pgMar w:top="1460" w:right="660" w:bottom="1200" w:left="980" w:header="720" w:footer="1012" w:gutter="0"/>
          <w:pgNumType w:start="1"/>
          <w:cols w:space="720"/>
        </w:sectPr>
      </w:pPr>
    </w:p>
    <w:p w:rsidR="00406A80" w:rsidRDefault="00406A80">
      <w:pPr>
        <w:rPr>
          <w:sz w:val="15"/>
        </w:rPr>
      </w:pPr>
    </w:p>
    <w:p w:rsidR="00406A80" w:rsidRPr="00406A80" w:rsidRDefault="00406A80" w:rsidP="00406A80">
      <w:pPr>
        <w:rPr>
          <w:sz w:val="15"/>
        </w:rPr>
      </w:pPr>
    </w:p>
    <w:p w:rsidR="00406A80" w:rsidRPr="00406A80" w:rsidRDefault="00406A80" w:rsidP="00406A80">
      <w:pPr>
        <w:rPr>
          <w:sz w:val="15"/>
        </w:rPr>
      </w:pPr>
    </w:p>
    <w:p w:rsidR="00406A80" w:rsidRDefault="00406A80" w:rsidP="00406A80">
      <w:pPr>
        <w:rPr>
          <w:sz w:val="15"/>
        </w:rPr>
      </w:pPr>
    </w:p>
    <w:p w:rsidR="00406A80" w:rsidRDefault="00406A80" w:rsidP="00406A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Your Expense Report Approver or processor will send a report back to you if an error is found. The Approver or Processor will include a comment explaining why the report was returned to you. To identify and correct expense reports requiring resubmission: </w:t>
      </w:r>
    </w:p>
    <w:p w:rsidR="00406A80" w:rsidRDefault="00406A80" w:rsidP="00406A80">
      <w:pPr>
        <w:pStyle w:val="Default"/>
        <w:numPr>
          <w:ilvl w:val="0"/>
          <w:numId w:val="2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On the home page, in the Quick Task Bar, click the </w:t>
      </w:r>
      <w:r>
        <w:rPr>
          <w:b/>
          <w:bCs/>
          <w:sz w:val="22"/>
          <w:szCs w:val="22"/>
        </w:rPr>
        <w:t xml:space="preserve">Open Reports </w:t>
      </w:r>
      <w:r>
        <w:rPr>
          <w:sz w:val="22"/>
          <w:szCs w:val="22"/>
        </w:rPr>
        <w:t xml:space="preserve">tile. In the </w:t>
      </w:r>
      <w:r>
        <w:rPr>
          <w:b/>
          <w:bCs/>
          <w:sz w:val="22"/>
          <w:szCs w:val="22"/>
        </w:rPr>
        <w:t xml:space="preserve">Manage Expenses </w:t>
      </w:r>
      <w:r>
        <w:rPr>
          <w:sz w:val="22"/>
          <w:szCs w:val="22"/>
        </w:rPr>
        <w:t xml:space="preserve">section of the page, the report appears with </w:t>
      </w:r>
      <w:r>
        <w:rPr>
          <w:b/>
          <w:bCs/>
          <w:sz w:val="22"/>
          <w:szCs w:val="22"/>
        </w:rPr>
        <w:t xml:space="preserve">Returned </w:t>
      </w:r>
      <w:r>
        <w:rPr>
          <w:sz w:val="22"/>
          <w:szCs w:val="22"/>
        </w:rPr>
        <w:t xml:space="preserve">header on the report tile. The approver's comment appears below the amount. </w:t>
      </w:r>
    </w:p>
    <w:p w:rsidR="00406A80" w:rsidRDefault="00406A80" w:rsidP="00406A80">
      <w:pPr>
        <w:ind w:firstLine="720"/>
        <w:rPr>
          <w:sz w:val="15"/>
        </w:rPr>
      </w:pPr>
    </w:p>
    <w:p w:rsidR="00406A80" w:rsidRDefault="00406A80" w:rsidP="00406A80">
      <w:pPr>
        <w:rPr>
          <w:sz w:val="15"/>
        </w:rPr>
      </w:pPr>
    </w:p>
    <w:p w:rsidR="00406A80" w:rsidRDefault="00406A80" w:rsidP="00406A80">
      <w:pPr>
        <w:rPr>
          <w:sz w:val="15"/>
        </w:rPr>
      </w:pPr>
    </w:p>
    <w:p w:rsidR="00406A80" w:rsidRDefault="00406A80" w:rsidP="00406A80">
      <w:pPr>
        <w:rPr>
          <w:sz w:val="15"/>
        </w:rPr>
      </w:pPr>
    </w:p>
    <w:p w:rsidR="00406A80" w:rsidRPr="00406A80" w:rsidRDefault="00406A80" w:rsidP="00406A80">
      <w:pPr>
        <w:widowControl/>
        <w:adjustRightInd w:val="0"/>
        <w:rPr>
          <w:rFonts w:ascii="Source Sans Pro" w:eastAsiaTheme="minorHAnsi" w:hAnsi="Source Sans Pro" w:cs="Source Sans Pro"/>
          <w:color w:val="000000"/>
          <w:sz w:val="24"/>
          <w:szCs w:val="24"/>
        </w:rPr>
      </w:pPr>
      <w:r w:rsidRPr="00406A80">
        <w:rPr>
          <w:noProof/>
          <w:sz w:val="15"/>
        </w:rPr>
        <w:drawing>
          <wp:inline distT="0" distB="0" distL="0" distR="0" wp14:anchorId="0BE823C9" wp14:editId="63B189A5">
            <wp:extent cx="6731000" cy="1046480"/>
            <wp:effectExtent l="38100" t="38100" r="50800" b="774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406A80" w:rsidRPr="00406A80" w:rsidRDefault="00406A80" w:rsidP="00406A80">
      <w:pPr>
        <w:widowControl/>
        <w:adjustRightInd w:val="0"/>
        <w:rPr>
          <w:rFonts w:ascii="Source Sans Pro" w:eastAsiaTheme="minorHAnsi" w:hAnsi="Source Sans Pro" w:cs="Source Sans Pro"/>
          <w:color w:val="000000"/>
        </w:rPr>
      </w:pPr>
      <w:r>
        <w:rPr>
          <w:rFonts w:ascii="Source Sans Pro" w:eastAsiaTheme="minorHAnsi" w:hAnsi="Source Sans Pro" w:cs="Source Sans Pro"/>
          <w:color w:val="000000"/>
        </w:rPr>
        <w:t xml:space="preserve">2. </w:t>
      </w:r>
      <w:r w:rsidRPr="00406A80">
        <w:rPr>
          <w:rFonts w:ascii="Source Sans Pro" w:eastAsiaTheme="minorHAnsi" w:hAnsi="Source Sans Pro" w:cs="Source Sans Pro"/>
          <w:color w:val="000000"/>
        </w:rPr>
        <w:t xml:space="preserve">Click the report tile to open the report. </w:t>
      </w:r>
    </w:p>
    <w:p w:rsidR="005E3146" w:rsidRDefault="005E3146" w:rsidP="00406A80">
      <w:pPr>
        <w:rPr>
          <w:sz w:val="15"/>
        </w:rPr>
      </w:pPr>
    </w:p>
    <w:p w:rsidR="00406A80" w:rsidRDefault="00406A80" w:rsidP="00406A80">
      <w:pPr>
        <w:rPr>
          <w:sz w:val="15"/>
        </w:rPr>
      </w:pPr>
    </w:p>
    <w:p w:rsidR="00406A80" w:rsidRDefault="00406A80" w:rsidP="00406A80">
      <w:pPr>
        <w:rPr>
          <w:sz w:val="15"/>
        </w:rPr>
      </w:pPr>
      <w:r>
        <w:rPr>
          <w:noProof/>
        </w:rPr>
        <w:drawing>
          <wp:inline distT="0" distB="0" distL="0" distR="0" wp14:anchorId="00C9CED0" wp14:editId="7AAFD4B1">
            <wp:extent cx="3892705" cy="3395207"/>
            <wp:effectExtent l="38100" t="38100" r="69850" b="723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0264" cy="340180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406A80" w:rsidRDefault="00406A80" w:rsidP="00406A80">
      <w:pPr>
        <w:rPr>
          <w:sz w:val="15"/>
        </w:rPr>
      </w:pPr>
    </w:p>
    <w:p w:rsidR="00406A80" w:rsidRDefault="00406A80" w:rsidP="00406A80">
      <w:pPr>
        <w:rPr>
          <w:sz w:val="15"/>
        </w:rPr>
      </w:pPr>
    </w:p>
    <w:p w:rsidR="00406A80" w:rsidRDefault="00406A80" w:rsidP="00406A80">
      <w:pPr>
        <w:rPr>
          <w:sz w:val="15"/>
        </w:rPr>
      </w:pPr>
    </w:p>
    <w:p w:rsidR="00406A80" w:rsidRDefault="00406A80" w:rsidP="00406A80">
      <w:pPr>
        <w:rPr>
          <w:sz w:val="15"/>
        </w:rPr>
      </w:pPr>
    </w:p>
    <w:p w:rsidR="00406A80" w:rsidRDefault="00406A80" w:rsidP="00406A80">
      <w:pPr>
        <w:rPr>
          <w:sz w:val="15"/>
        </w:rPr>
      </w:pPr>
    </w:p>
    <w:p w:rsidR="00406A80" w:rsidRPr="00406A80" w:rsidRDefault="00406A80" w:rsidP="00406A80">
      <w:pPr>
        <w:widowControl/>
        <w:adjustRightInd w:val="0"/>
        <w:rPr>
          <w:rFonts w:ascii="Source Sans Pro" w:eastAsiaTheme="minorHAnsi" w:hAnsi="Source Sans Pro" w:cs="Source Sans Pro"/>
          <w:color w:val="000000"/>
          <w:sz w:val="24"/>
          <w:szCs w:val="24"/>
        </w:rPr>
      </w:pPr>
    </w:p>
    <w:p w:rsidR="00406A80" w:rsidRPr="00406A80" w:rsidRDefault="00406A80" w:rsidP="00406A80">
      <w:pPr>
        <w:widowControl/>
        <w:adjustRightInd w:val="0"/>
        <w:spacing w:after="152"/>
        <w:rPr>
          <w:rFonts w:ascii="Source Sans Pro" w:eastAsiaTheme="minorHAnsi" w:hAnsi="Source Sans Pro" w:cs="Source Sans Pro"/>
          <w:color w:val="000000"/>
        </w:rPr>
      </w:pPr>
      <w:r>
        <w:rPr>
          <w:rFonts w:ascii="Source Sans Pro" w:eastAsiaTheme="minorHAnsi" w:hAnsi="Source Sans Pro" w:cs="Source Sans Pro"/>
          <w:color w:val="000000"/>
        </w:rPr>
        <w:t xml:space="preserve">3. </w:t>
      </w:r>
      <w:r w:rsidRPr="00406A80">
        <w:rPr>
          <w:rFonts w:ascii="Source Sans Pro" w:eastAsiaTheme="minorHAnsi" w:hAnsi="Source Sans Pro" w:cs="Source Sans Pro"/>
          <w:color w:val="000000"/>
        </w:rPr>
        <w:t>Make the requested changes</w:t>
      </w:r>
      <w:r>
        <w:rPr>
          <w:rFonts w:ascii="Source Sans Pro" w:eastAsiaTheme="minorHAnsi" w:hAnsi="Source Sans Pro" w:cs="Source Sans Pro"/>
          <w:color w:val="000000"/>
        </w:rPr>
        <w:t xml:space="preserve"> – which could include adding receipts, comments, or documents.</w:t>
      </w:r>
    </w:p>
    <w:p w:rsidR="007D5BFC" w:rsidRPr="00406A80" w:rsidRDefault="00406A80" w:rsidP="00406A80">
      <w:pPr>
        <w:widowControl/>
        <w:adjustRightInd w:val="0"/>
        <w:rPr>
          <w:rFonts w:ascii="Source Sans Pro" w:eastAsiaTheme="minorHAnsi" w:hAnsi="Source Sans Pro" w:cs="Source Sans Pro"/>
          <w:color w:val="000000"/>
        </w:rPr>
      </w:pPr>
      <w:r>
        <w:rPr>
          <w:rFonts w:ascii="Source Sans Pro" w:eastAsiaTheme="minorHAnsi" w:hAnsi="Source Sans Pro" w:cs="Source Sans Pro"/>
          <w:color w:val="000000"/>
        </w:rPr>
        <w:t xml:space="preserve">4. </w:t>
      </w:r>
      <w:r w:rsidRPr="00406A80">
        <w:rPr>
          <w:rFonts w:ascii="Source Sans Pro" w:eastAsiaTheme="minorHAnsi" w:hAnsi="Source Sans Pro" w:cs="Source Sans Pro"/>
          <w:color w:val="000000"/>
        </w:rPr>
        <w:t xml:space="preserve"> Click “</w:t>
      </w:r>
      <w:r w:rsidRPr="00406A80">
        <w:rPr>
          <w:rFonts w:ascii="Source Sans Pro" w:eastAsiaTheme="minorHAnsi" w:hAnsi="Source Sans Pro" w:cs="Source Sans Pro"/>
          <w:b/>
          <w:bCs/>
          <w:color w:val="000000"/>
        </w:rPr>
        <w:t>Submit Report.”</w:t>
      </w:r>
      <w:bookmarkStart w:id="0" w:name="_GoBack"/>
      <w:bookmarkEnd w:id="0"/>
    </w:p>
    <w:p w:rsidR="005E3146" w:rsidRDefault="005E3146">
      <w:pPr>
        <w:pStyle w:val="BodyText"/>
        <w:spacing w:before="11"/>
        <w:rPr>
          <w:sz w:val="13"/>
        </w:rPr>
      </w:pPr>
    </w:p>
    <w:p w:rsidR="005E3146" w:rsidRDefault="005E3146">
      <w:pPr>
        <w:pStyle w:val="BodyText"/>
        <w:rPr>
          <w:sz w:val="20"/>
        </w:rPr>
      </w:pPr>
    </w:p>
    <w:p w:rsidR="005E3146" w:rsidRDefault="005E3146">
      <w:pPr>
        <w:pStyle w:val="BodyText"/>
        <w:spacing w:before="5"/>
        <w:rPr>
          <w:sz w:val="11"/>
        </w:rPr>
      </w:pPr>
    </w:p>
    <w:sectPr w:rsidR="005E3146">
      <w:pgSz w:w="12240" w:h="15840"/>
      <w:pgMar w:top="1400" w:right="660" w:bottom="1200" w:left="98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BDC" w:rsidRDefault="00554BDC">
      <w:r>
        <w:separator/>
      </w:r>
    </w:p>
  </w:endnote>
  <w:endnote w:type="continuationSeparator" w:id="0">
    <w:p w:rsidR="00554BDC" w:rsidRDefault="00554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146" w:rsidRDefault="00662EB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4818380</wp:posOffset>
              </wp:positionH>
              <wp:positionV relativeFrom="page">
                <wp:posOffset>9276080</wp:posOffset>
              </wp:positionV>
              <wp:extent cx="2078990" cy="165735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89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3146" w:rsidRDefault="00316CD8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 xml:space="preserve">Expense Report Returned to User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D5BF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9.4pt;margin-top:730.4pt;width:163.7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N3lqwIAAKk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" filled="f" stroked="f">
              <v:textbox inset="0,0,0,0">
                <w:txbxContent>
                  <w:p w:rsidR="005E3146" w:rsidRDefault="00316CD8">
                    <w:pPr>
                      <w:pStyle w:val="BodyText"/>
                      <w:spacing w:line="245" w:lineRule="exact"/>
                      <w:ind w:left="20"/>
                    </w:pPr>
                    <w:r>
                      <w:t xml:space="preserve">Expense Report Returned to User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D5BF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BDC" w:rsidRDefault="00554BDC">
      <w:r>
        <w:separator/>
      </w:r>
    </w:p>
  </w:footnote>
  <w:footnote w:type="continuationSeparator" w:id="0">
    <w:p w:rsidR="00554BDC" w:rsidRDefault="00554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7EF6B79"/>
    <w:multiLevelType w:val="hybridMultilevel"/>
    <w:tmpl w:val="C3884EF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6FF1C29"/>
    <w:multiLevelType w:val="hybridMultilevel"/>
    <w:tmpl w:val="1CA2C506"/>
    <w:lvl w:ilvl="0" w:tplc="0FA8DB64">
      <w:start w:val="1"/>
      <w:numFmt w:val="decimal"/>
      <w:lvlText w:val="%1."/>
      <w:lvlJc w:val="left"/>
      <w:pPr>
        <w:ind w:left="1180" w:hanging="36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1" w:tplc="1FD2158E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ar-SA"/>
      </w:rPr>
    </w:lvl>
    <w:lvl w:ilvl="2" w:tplc="5A46A9D0">
      <w:numFmt w:val="bullet"/>
      <w:lvlText w:val="•"/>
      <w:lvlJc w:val="left"/>
      <w:pPr>
        <w:ind w:left="3064" w:hanging="361"/>
      </w:pPr>
      <w:rPr>
        <w:rFonts w:hint="default"/>
        <w:lang w:val="en-US" w:eastAsia="en-US" w:bidi="ar-SA"/>
      </w:rPr>
    </w:lvl>
    <w:lvl w:ilvl="3" w:tplc="02EE9F04">
      <w:numFmt w:val="bullet"/>
      <w:lvlText w:val="•"/>
      <w:lvlJc w:val="left"/>
      <w:pPr>
        <w:ind w:left="4006" w:hanging="361"/>
      </w:pPr>
      <w:rPr>
        <w:rFonts w:hint="default"/>
        <w:lang w:val="en-US" w:eastAsia="en-US" w:bidi="ar-SA"/>
      </w:rPr>
    </w:lvl>
    <w:lvl w:ilvl="4" w:tplc="D0ACE4A8">
      <w:numFmt w:val="bullet"/>
      <w:lvlText w:val="•"/>
      <w:lvlJc w:val="left"/>
      <w:pPr>
        <w:ind w:left="4948" w:hanging="361"/>
      </w:pPr>
      <w:rPr>
        <w:rFonts w:hint="default"/>
        <w:lang w:val="en-US" w:eastAsia="en-US" w:bidi="ar-SA"/>
      </w:rPr>
    </w:lvl>
    <w:lvl w:ilvl="5" w:tplc="B6AEB1FC">
      <w:numFmt w:val="bullet"/>
      <w:lvlText w:val="•"/>
      <w:lvlJc w:val="left"/>
      <w:pPr>
        <w:ind w:left="5890" w:hanging="361"/>
      </w:pPr>
      <w:rPr>
        <w:rFonts w:hint="default"/>
        <w:lang w:val="en-US" w:eastAsia="en-US" w:bidi="ar-SA"/>
      </w:rPr>
    </w:lvl>
    <w:lvl w:ilvl="6" w:tplc="869C99FA">
      <w:numFmt w:val="bullet"/>
      <w:lvlText w:val="•"/>
      <w:lvlJc w:val="left"/>
      <w:pPr>
        <w:ind w:left="6832" w:hanging="361"/>
      </w:pPr>
      <w:rPr>
        <w:rFonts w:hint="default"/>
        <w:lang w:val="en-US" w:eastAsia="en-US" w:bidi="ar-SA"/>
      </w:rPr>
    </w:lvl>
    <w:lvl w:ilvl="7" w:tplc="BC78C2D2">
      <w:numFmt w:val="bullet"/>
      <w:lvlText w:val="•"/>
      <w:lvlJc w:val="left"/>
      <w:pPr>
        <w:ind w:left="7774" w:hanging="361"/>
      </w:pPr>
      <w:rPr>
        <w:rFonts w:hint="default"/>
        <w:lang w:val="en-US" w:eastAsia="en-US" w:bidi="ar-SA"/>
      </w:rPr>
    </w:lvl>
    <w:lvl w:ilvl="8" w:tplc="992EFA24">
      <w:numFmt w:val="bullet"/>
      <w:lvlText w:val="•"/>
      <w:lvlJc w:val="left"/>
      <w:pPr>
        <w:ind w:left="8716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146"/>
    <w:rsid w:val="00316CD8"/>
    <w:rsid w:val="00406A80"/>
    <w:rsid w:val="00554BDC"/>
    <w:rsid w:val="00557802"/>
    <w:rsid w:val="005E3146"/>
    <w:rsid w:val="00662EB8"/>
    <w:rsid w:val="007D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40DE1"/>
  <w15:docId w15:val="{13DFD337-6F29-421F-98E0-CBF15106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ind w:left="460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118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06A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A8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06A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A80"/>
    <w:rPr>
      <w:rFonts w:ascii="Calibri" w:eastAsia="Calibri" w:hAnsi="Calibri" w:cs="Calibri"/>
    </w:rPr>
  </w:style>
  <w:style w:type="paragraph" w:customStyle="1" w:styleId="Default">
    <w:name w:val="Default"/>
    <w:rsid w:val="00406A80"/>
    <w:pPr>
      <w:widowControl/>
      <w:adjustRightInd w:val="0"/>
    </w:pPr>
    <w:rPr>
      <w:rFonts w:ascii="Source Sans Pro" w:hAnsi="Source Sans Pro" w:cs="Source Sans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616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 - San Luis Obispo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Monterrosa</dc:creator>
  <cp:lastModifiedBy>Stephanie L. Albright</cp:lastModifiedBy>
  <cp:revision>2</cp:revision>
  <dcterms:created xsi:type="dcterms:W3CDTF">2024-05-31T18:02:00Z</dcterms:created>
  <dcterms:modified xsi:type="dcterms:W3CDTF">2024-05-31T18:02:00Z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2020-09-15T00:00:00Z</vt:filetime>
  </property>
</Properties>
</file>